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799a" w14:textId="1e07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сентября 2014 года №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таможенного союза по ветеринарно-санитарным мерам от 11 декабря 2009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союза» (прилагается) и внести его для рассмотрения на очередном заседании Совета Евразийской экономической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 »        20  г.           №                      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Положение о Едином порядке осуществления</w:t>
      </w:r>
      <w:r>
        <w:br/>
      </w:r>
      <w:r>
        <w:rPr>
          <w:rFonts w:ascii="Times New Roman"/>
          <w:b/>
          <w:i w:val="false"/>
          <w:color w:val="000000"/>
        </w:rPr>
        <w:t>
ветеринарного контроля на таможенной границе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и на таможенной территории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таможенного союза по ветеринарно-санитарным мерам от 11 декабря 2009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Положение о Едином порядке осуществления ветеринарного контроля на таможенной границе 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на таможенной территории таможенного союза, утвержденное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317,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в наименовании и пункте 1.1 слова «Едином порядке» заменить словами «едином порядке»;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наименовании и по тексту слова «таможенный союз» в соответствующем падеже заменить словами «Таможенный союз» в соответствующем падеже;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пункт 2.1 дополнить подпунктом 2.1.13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«2.1.13. «компетентный орган страны-экспортера» – государственный орган страны-экспортера, к компетенции которого относятся вопросы ветеринарного контроля (надзора) и (или) обеспечения благополучия и защиты здоровья животных, а также международной ветеринарной сертификации.»;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пункт 3.8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«Ветеринарные сертификаты, оформленные на бумажных бланках, должны быть подписаны должностным лицом компетентного органа страны-экспортера и должны иметь печать этого органа. Каждая страница ветеринарного сертификата должна содержать уникальный номер ветеринарного сертификата и два числа, первое из которых обозначает порядковый номер страницы, второе – общее число страниц, между этими числами ставится слово «из». В тексте ветеринарного сертификата не допускаются исправления, за исключением зачеркиваний, предусмотренных формой ветеринарного сертификата или осуществляемых в других согласованных случаях. Такие изменения должны быть заверены подписью должностного лица компетентного органа страны-экспортера и печатью этого компетентного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утери или повреждения ветеринарного сертификата, выданного компетентным органом страны-экспортера, взамен может быть оформлен новый ветеринарный сертификат.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технической ошибки в ветеринарном сертификате, допущенной должностным лицом компетентного органа страны-экспортера при его оформлении, допускается изменение следующей содержащейся в нем информации: название и адрес грузоотправителя, название и адрес грузополучателя, транспорт (№ вагона, автомашины, рейс самолета, название судна), страна (страны) транзита, пункт пересечения таможенной границы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Такие изменения допускаются, если они сделаны должностным лицом компетентного органа страны-экспортера не в нарушение правил сертификации и их исправление не меняет характеристик груза, а также его пригодность для использования по назначению в соответствии с установленными страной-импортером требованиями. Внесенные изменения должны быть заверены подписью должностного лица компетентного органа страны-экспортера и печатью этого компетентного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ветеринарного сертификата осуществляется выдавшим его компетентным органом страны-экспортера. В новом сертификате делается запись о том, что он заменяет ранее выданный ветеринарный сертификат, а также указываются номер и дата выдачи утерянного (поврежденного) ветеринарного сертификата. Замененный новым ветеринарный сертификат должен быть отменен и по возможности возвращен в выдавший его орган.»;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пункт 3.9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случае ввоза на таможенную территорию Таможенного союза подконтрольного товара в сопровождении ветеринарного сертификата, который отличается от форм Единых ветеринарных сертификатов на ввозимые на таможенную территорию Таможенного союза Республики Беларусь, Республики Казахстан и Российской Федерации подконтрольные товары из третьих стран,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7 апреля 2011 г. № 607, согласован уполномоченным органом Стороны и третьей страной и в котором имеются различающиеся требования или условия ввоза подконтрольного товара на территории разных Сторон, страна-импортер обеспечивает контроль за обращением ввезенного товара таким образом, чтобы исключить его перемещение на территорию Стороны, на которую его ввоз запрещен.»;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в пункте 6.3 слова «страны – отправления» заменить словами «страны-экспортера».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2"/>
        <w:gridCol w:w="4354"/>
        <w:gridCol w:w="433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