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5ffe" w14:textId="dd05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проекте решения Высшего Евразийского экономического совета "О Порядке осуществления Евразийским экономическим союзом международного сотрудничества"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ноября 2014 года № 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проекте решения Высшего Евразийского экономического совета «О Порядке осуществления Евразийским экономическим союзом международного сотрудничества»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947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  20 г.          №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решения Высшего Евразийского экономического совета</w:t>
      </w:r>
      <w:r>
        <w:br/>
      </w:r>
      <w:r>
        <w:rPr>
          <w:rFonts w:ascii="Times New Roman"/>
          <w:b/>
          <w:i w:val="false"/>
          <w:color w:val="000000"/>
        </w:rPr>
        <w:t>
«О Порядке осуществления Евразийским экономическим</w:t>
      </w:r>
      <w:r>
        <w:br/>
      </w:r>
      <w:r>
        <w:rPr>
          <w:rFonts w:ascii="Times New Roman"/>
          <w:b/>
          <w:i w:val="false"/>
          <w:color w:val="000000"/>
        </w:rPr>
        <w:t>
союзом международного сотрудничества»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Приняв к сведению информацию Коллегии Евразийской экономической комиссии,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Высшего Евразийского экономического совета «О Порядке осуществления Евразийским экономическим союзом международного сотрудничества»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2423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  20 г.          №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Порядке осуществления Евразийским </w:t>
      </w:r>
      <w:r>
        <w:br/>
      </w:r>
      <w:r>
        <w:rPr>
          <w:rFonts w:ascii="Times New Roman"/>
          <w:b/>
          <w:i w:val="false"/>
          <w:color w:val="000000"/>
        </w:rPr>
        <w:t>
экономическим союзом международного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Порядок осуществления Евразийским экономическим союзом международного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   2014 г. №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
осуществления Евразийским экономическим</w:t>
      </w:r>
      <w:r>
        <w:br/>
      </w:r>
      <w:r>
        <w:rPr>
          <w:rFonts w:ascii="Times New Roman"/>
          <w:b/>
          <w:i w:val="false"/>
          <w:color w:val="000000"/>
        </w:rPr>
        <w:t>
союзом международного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Международное сотрудничество Евразийского экономического союза (далее – Союз) направлено на достижение целей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Международное сотрудничество Союза включает в себя контакты официальных представителей органов Союза с официальными представителями третьих государств, международных организаций и международных интеграционных объединений, участие в мероприятиях международного характера, в том числе презентациях, конференциях, семинарах.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Международное сотрудничество осуществляется Председателем Высшего Евразийского экономического совета (далее – Высший совет), членами Высшего совета, Председателем Евразийского межправительственного совета, членами Евразийского межправительственного совета, членами Совета Евразийской экономической комиссии (далее – Комиссия), Председателем и членами Коллегии Комиссии как на территориях государств – членов Союза (далее – государства-члены), так и за рубежом, если иное не предусмотрено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– Договор). Должностные лица и сотрудники Комиссии осуществляют экспертное сопровождение международного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Международное сотрудничество официальных представителей Комиссии осуществляется по согласованию с государствами-членами с их последующим информированием о результатах такого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Международное сотрудничество направлено на достижение целей Союза, изложенных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и осуществляться с целью позиционирования Союза как надежного, предсказуемого партнера на международной арене.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Международное сотрудничество Комиссии осуществляется в соответствии с основными направлениями международной деятельности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международной деятельности Союза формируются в том числе на основе предложений государств-членов по развитию приоритетных направлений деятельности Союза и его целевых ориентиров и ежегодно утверждаются Высшим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основными направлениями международной деятельности Союза, подпунктом 12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Договору) и во взаимодействии с государствами-членами Комиссией формируется план зарубежных командировок.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предложению государств-членов план зарубежных командировок может быть дополнен в порядке, установленном Регламентом работы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Член Коллегии Комиссии при осуществлении международных контактов за рубежом заблаговременно направляет в министерства иностранных дел и диппредставительства государств-членов в государстве проведения визита программу визита и состав делегации, если иное не предусмотрено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Комиссия может обратиться в министерство иностранных дел председательствующего в Совете Комиссии государства-члена для оказания содействия в организации переговоров, предусмотренных программой визита.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диппредставительства председательствующего в Совете Комиссии государства-члена содействие оказывает министерство иностранных дел следующего в алфавитном порядке государства-члена, у которого имеется диппредставительство в государстве проведения визита. Транспортное обеспечение осуществляется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Член Коллегии Комиссии, к компетенции которого относятся вопросы, обсуждавшиеся в рамках состоявшегося международного контакта, в 10-дневный срок информирует министерства иностранных дел государств-членов о результатах состоявшихся международных контактов членов Коллегии Комиссии, директоров департаментов Комиссии и их заместителей и проведенных переговорах.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иностранных дел государств-членов ежемесячно направляют в Комиссию информацию (аналитическую справку) о результатах международных контактов руководителей органов государственной власти государств-членов по вопросам, относящимся к компетенции Союза, определенной в соответствии с Договором и международными договорами в рамках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Председатель и члены Коллегии Комиссии принимают меры с целью обеспечения участия представителей всех государств-членов в международных контактах.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Председатель и члены Коллегии Комиссии, директора департаментов Комиссии и их заместители осуществляют международное сотрудничество в соответствии с основными принципами функционирования и целями Союза, определенными Договором, и руководствуясь основными направлениями международной деятельности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рамках международного сотрудничества Комиссия вправе подписывать с третьими государствами, международными организациями и международными интеграционными объединениями документы, не являющиеся международными договорами.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указанных документов осуществляется от имени Комиссии Председателем или членом Коллегии Комиссии после согласования с государствами-членами и при наличии соответствующего акта Коллегии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Комиссии по окончании очередного календарного года представляет на рассмотрение Высшего совета доклад о результатах реализации основных направлений международной деятельности Союза, предусмотренных пунктом 2 настоящего Порядка.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