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353" w14:textId="3d5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временно ввозимых с полным условным освобождением от уплаты таможенных пошлин, налогов, в отношении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дополнить пунктом 33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Гражданские пассажирские самолеты, классифицируемые кодами единой Товарной номенклатуры внешнеэкономической деятельности Таможенного союза 8802 40 003 5, 8802 40 003 6 и 8802 40 004 6, за исключением воздушных судов с максимальным количеством пассажирских мест, указанным в схеме размещения пассажиров (LOPA), одобренным уполномоченным органом, ответственным за поддержание летной годности воздушных судов, свыше 50 и менее 110 мест, в случае заключения участниками внешнеэкономической деятельности государств – членов Таможенного союза договоров и помещения самолетов под таможенную процедуру временного ввоза (допуска) до 1 января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полного условного освобождения от уплаты таможенных пошлин, налогов в отношении таких самолетов составляет 5 лет со дня помещения самолетов под таможенную процедуру временного ввоза (допуска).".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