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174c" w14:textId="c511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февраля 2014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г. № 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перечень категорий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которых может быть установлена специальная</w:t>
      </w:r>
      <w:r>
        <w:br/>
      </w:r>
      <w:r>
        <w:rPr>
          <w:rFonts w:ascii="Times New Roman"/>
          <w:b/>
          <w:i w:val="false"/>
          <w:color w:val="000000"/>
        </w:rPr>
        <w:t>
таможенная процедура, и условий их помещения</w:t>
      </w:r>
      <w:r>
        <w:br/>
      </w:r>
      <w:r>
        <w:rPr>
          <w:rFonts w:ascii="Times New Roman"/>
          <w:b/>
          <w:i w:val="false"/>
          <w:color w:val="000000"/>
        </w:rPr>
        <w:t>
под такую таможенную процедуру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Товары, предназначенные для использования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утвержденном Решением Комиссии Таможенного союза от 22 июня 2011 г. № 727, помещаются под специальную таможенную процедуру без уплаты таможенных пошлин, налогов, а также без применения запретов 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помещения товаров, указанных в части первой настоящего пункта, под специальную таможенную процедуру является представление в таможенный орган государства – члена Таможенного союза, осуществляющего запуск космических аппаратов, подтверждения уполномоченного в области космической деятельности органа государственной власти этого государства (далее в настоящем пункте – уполномоченный орган) о целевом назначении товаров, предназначенных для использования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с указанием наименования организации, которая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выступает декларантом таких товаров и в адрес которой они перемещаются, запланированных срока их ввоза на таможенную территорию Таможенного союза и срока запуска космических аппаратов, перечня товаров, содержащего сведения о наименовании, количестве товаров и их статистической стоимости в долларах США (далее в настоящем пункте – подтверждение о целевом назначении).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указанные в части первой настоящего пункта, помещаются под специальную таможенную процедуру на территории государства – члена Таможенного союза, уполномоченным органом которого выдано подтверждение о целевом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товары, помещенные под специальную таможенную процедуру, помещаются в соответствии с Таможенным кодексом Таможенного союза под иную таможенную процедуру, в том числе допускающую их вывоз с таможенной территории Таможенного союза, в сроки, установленные таможенным органом государства – члена Таможенного союза, уполномоченным органом которого выдано подтверждение о целевом назначении, исходя из заявленных декларантом целей и сроков использования таких товаров и в соответствии с частью шестой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установленные частью четвертой настоящего пункта, не применяются к указанным в части первой настоящего пункта товарам, использованным (израсходованным), полностью потребленным и (или) уничтоженным при подготовке и проведении запуска космических аппаратов, при представлении в таможенный орган государства – члена Таможенного союза, уполномоченным органом которого выдано подтверждение о целевом назначении, документов, подтверждающих запуск космических аппаратов, с приложением заверенного уполномоченным органом перечня товаров, содержащего сведения о наименованиях и количестве товаров, использованных (израсходованных), полностью потребленных и (или) уничтоженных при подготовке и проведении запуска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помещения под иную таможенную процедуру указанных в части первой настоящего пункта товаров, помещенных под специальную таможенную процедуру, за исключением использованных (израсходованных), полностью потребленных и (или) уничтоженных при подготовке и проведении запуска космических аппаратов, подается таможенная декларация на эти товары таможенному органу государства – члена Таможенного союза, уполномоченным органом которого выдано подтверждение о целевом назначении, в срок, не превышающий 6 месяцев со дня запуска космических аппаратов, а если такой запуск не состоялся, – в срок, не превышающий 6 месяцев со дня принятия решения об отмене запуска космических аппаратов.».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