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3967" w14:textId="7d33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Совета Евразийской экономической комиссии от 23 июня 2014 года № 47. Утратило силу решением Совета Евразийской экономической комиссии от 14 сентября 2021 года № 80</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едином таможенно-тарифном регулировании от 25 января 2008 года 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xml:space="preserve">
      а) с 1 сентября 2014 г.: </w:t>
      </w:r>
    </w:p>
    <w:bookmarkEnd w:id="2"/>
    <w:bookmarkStart w:name="z4" w:id="3"/>
    <w:p>
      <w:pPr>
        <w:spacing w:after="0"/>
        <w:ind w:left="0"/>
        <w:jc w:val="both"/>
      </w:pPr>
      <w:r>
        <w:rPr>
          <w:rFonts w:ascii="Times New Roman"/>
          <w:b w:val="false"/>
          <w:i w:val="false"/>
          <w:color w:val="000000"/>
          <w:sz w:val="28"/>
        </w:rPr>
        <w:t xml:space="preserve">
      исключить из единой Товарной номенклатуры внешнеэкономической деятельности Таможенного союза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3"/>
    <w:bookmarkStart w:name="z20" w:id="4"/>
    <w:p>
      <w:pPr>
        <w:spacing w:after="0"/>
        <w:ind w:left="0"/>
        <w:jc w:val="both"/>
      </w:pPr>
      <w:r>
        <w:rPr>
          <w:rFonts w:ascii="Times New Roman"/>
          <w:b w:val="false"/>
          <w:i w:val="false"/>
          <w:color w:val="000000"/>
          <w:sz w:val="28"/>
        </w:rPr>
        <w:t xml:space="preserve">
      включить в единую Товарную номенклатуру внешнеэкономической деятельности Таможенного союза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б) с 31 декабря 2014 г.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4</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2. Коллегии Евразийской экономической комиссии:</w:t>
      </w:r>
    </w:p>
    <w:bookmarkEnd w:id="7"/>
    <w:bookmarkStart w:name="z8" w:id="8"/>
    <w:p>
      <w:pPr>
        <w:spacing w:after="0"/>
        <w:ind w:left="0"/>
        <w:jc w:val="both"/>
      </w:pPr>
      <w:r>
        <w:rPr>
          <w:rFonts w:ascii="Times New Roman"/>
          <w:b w:val="false"/>
          <w:i w:val="false"/>
          <w:color w:val="000000"/>
          <w:sz w:val="28"/>
        </w:rPr>
        <w:t>
      а) внести необходимые предложения по приведению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w:t>
      </w:r>
    </w:p>
    <w:bookmarkEnd w:id="8"/>
    <w:bookmarkStart w:name="z9" w:id="9"/>
    <w:p>
      <w:pPr>
        <w:spacing w:after="0"/>
        <w:ind w:left="0"/>
        <w:jc w:val="both"/>
      </w:pPr>
      <w:r>
        <w:rPr>
          <w:rFonts w:ascii="Times New Roman"/>
          <w:b w:val="false"/>
          <w:i w:val="false"/>
          <w:color w:val="000000"/>
          <w:sz w:val="28"/>
        </w:rPr>
        <w:t xml:space="preserve">
      б)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 До внесения изменений в указанный Перечень решения об изменении ставок ввозных таможенных пошлин в отношении товаров, классифицируемых кодами 3917 33 000 1, 3917 33 000 9, 3917 40 000 1, 3917 40 000 9, 8407 10 000 1 и 8407 10 000 9 ТН ВЭД ТС, принимаются Советом Евразийской экономической комиссии.</w:t>
      </w:r>
    </w:p>
    <w:bookmarkEnd w:id="9"/>
    <w:bookmarkStart w:name="z10" w:id="10"/>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июня 2014 г. № 47</w:t>
            </w:r>
          </w:p>
        </w:tc>
      </w:tr>
    </w:tbl>
    <w:bookmarkStart w:name="z12" w:id="11"/>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 номенклатуры</w:t>
      </w:r>
      <w:r>
        <w:br/>
      </w:r>
      <w:r>
        <w:rPr>
          <w:rFonts w:ascii="Times New Roman"/>
          <w:b/>
          <w:i w:val="false"/>
          <w:color w:val="000000"/>
        </w:rPr>
        <w:t>внешнеэкономической деятельности</w:t>
      </w:r>
      <w:r>
        <w:br/>
      </w:r>
      <w:r>
        <w:rPr>
          <w:rFonts w:ascii="Times New Roman"/>
          <w:b/>
          <w:i w:val="false"/>
          <w:color w:val="000000"/>
        </w:rPr>
        <w:t>Таможенного союза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июня 2014 г. № 47</w:t>
            </w:r>
          </w:p>
        </w:tc>
      </w:tr>
    </w:tbl>
    <w:bookmarkStart w:name="z14" w:id="12"/>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w:t>
      </w:r>
      <w:r>
        <w:br/>
      </w:r>
      <w:r>
        <w:rPr>
          <w:rFonts w:ascii="Times New Roman"/>
          <w:b/>
          <w:i w:val="false"/>
          <w:color w:val="000000"/>
        </w:rPr>
        <w:t>Таможенного союза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июня 2014 г. № 47</w:t>
            </w:r>
          </w:p>
        </w:tc>
      </w:tr>
    </w:tbl>
    <w:bookmarkStart w:name="z16" w:id="13"/>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w:t>
      </w:r>
      <w:r>
        <w:br/>
      </w:r>
      <w:r>
        <w:rPr>
          <w:rFonts w:ascii="Times New Roman"/>
          <w:b/>
          <w:i w:val="false"/>
          <w:color w:val="000000"/>
        </w:rPr>
        <w:t>Таможенного союза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
(в процентах от таможенной стоимости либо в евро, либо в долларах США)</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(Thunnus orientalis)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Oncorhynchus mykiss, с головой и жабрами, без внутренностей, массой более 1,2 кг каждая, или без головы, жабр и внутренностей, массой более 1 кг каждая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Dentex dentex и Рagellus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(Sрarus aurata)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Oncorhynchus mykiss, с головой и жабрами, без внутренностей, массой более 1,2 кг каждая или без головы, жабр и внутренностей, массой более 1 кг каждая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 не менее 0,01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scombrus или Scomber jaрonicus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0,036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trahurus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ogac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(Merluccius hubbsi)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(Sparus aurata)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мойва (Mallotus villosus)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икра и молоки для производства дезоксирибонуклеиновой кислоты или сульфата протамина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macroceрhalus) и рыбы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(Рollachius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(Sebastes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(Merluccius hubbsi)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американского нитеперого налима рода Uroрhycis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рыбы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(Merlangius merlangus)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(Molva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(Рleuronectes рlatessa)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(Рlatichthys flesus)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(Leрidorhombus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скипджека, или тунца полосатого (Euthynnus (Katsuwonus) pelamis) субпозиции 0304 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скумбрии вида Scomber australasicus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колючей (Squalus acanthias sрр.) и акулы кошачьей (Scyliorhinus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сельдевой (Lamna nasus)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 прочих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(Loрhius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(Xiрhias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morhua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(Рollachius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(Merluccius sрр.) и американского нитеперого налима (Uroрhycis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(Micromesistius рoutassou или Gadus рoutassou)</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(Sebastes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(Leрidorhombus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(Brama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(Loрhius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8 мас.%, но не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сывороточное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39 мас.% или более, но менее 60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60 мас.% или более, но не более 75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75 мас.%, но менее 80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200 г,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и клубники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w:t>
            </w:r>
          </w:p>
          <w:p>
            <w:pPr>
              <w:spacing w:after="20"/>
              <w:ind w:left="20"/>
              <w:jc w:val="both"/>
            </w:pPr>
            <w:r>
              <w:rPr>
                <w:rFonts w:ascii="Times New Roman"/>
                <w:b w:val="false"/>
                <w:i w:val="false"/>
                <w:color w:val="000000"/>
                <w:sz w:val="20"/>
              </w:rPr>
              <w:t>
с 16 сентября по 15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перри, или грушевого сидра, навалом, с 1 августа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0,057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0,091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0,091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10 мас.%, но не более 15 мас.%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колбасы, сухие или пастообразные, сырые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или лакрицы, содержащий более 10 мас.% сахарозы, но не содержащий других добавок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белый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но не менее 0,183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пасты и массы, включая марципан, в первичных упаковках нетто-массой 1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пастилки от боли в горле и таблетки от кашля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покрытые сахаром (дражированные) товары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кондитерские изделия в виде резинки и желе, включая фруктовую пасту в виде кондитерских изделий из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0,14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отпрессованные таблетки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добавкой зерна злаков, плодов или орехов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алкоголь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начинкой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0,117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подслащивающими добавками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земляники и клубники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малины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2С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3С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3С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видов рода Рrunus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и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и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содержащий добавки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30 евро за 100 кг нетто-массы, </w:t>
            </w:r>
          </w:p>
          <w:p>
            <w:pPr>
              <w:spacing w:after="20"/>
              <w:ind w:left="20"/>
              <w:jc w:val="both"/>
            </w:pPr>
            <w:r>
              <w:rPr>
                <w:rFonts w:ascii="Times New Roman"/>
                <w:b w:val="false"/>
                <w:i w:val="false"/>
                <w:color w:val="000000"/>
                <w:sz w:val="20"/>
              </w:rPr>
              <w:t>
в бочках, цистернах, флекси-танках вместимостью не более 40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более 40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w:t>
            </w:r>
            <w:r>
              <w:rPr>
                <w:rFonts w:ascii="Times New Roman"/>
                <w:b w:val="false"/>
                <w:i w:val="false"/>
                <w:color w:val="000000"/>
                <w:vertAlign w:val="superscript"/>
              </w:rPr>
              <w:t>4С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0,057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w:t>
            </w:r>
            <w:r>
              <w:rPr>
                <w:rFonts w:ascii="Times New Roman"/>
                <w:b w:val="false"/>
                <w:i w:val="false"/>
                <w:color w:val="000000"/>
                <w:vertAlign w:val="superscript"/>
              </w:rPr>
              <w:t>4С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плодов растений вида Vaccinium macrocarрon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0,063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таблеток, кубиков или в аналогичной форме, или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w:t>
            </w:r>
          </w:p>
          <w:p>
            <w:pPr>
              <w:spacing w:after="20"/>
              <w:ind w:left="20"/>
              <w:jc w:val="both"/>
            </w:pPr>
            <w:r>
              <w:rPr>
                <w:rFonts w:ascii="Times New Roman"/>
                <w:b w:val="false"/>
                <w:i w:val="false"/>
                <w:color w:val="000000"/>
                <w:sz w:val="20"/>
              </w:rPr>
              <w:t>
      кислоты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 тиодиэтанол)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бис[(5-этил-2-метил-2-окси-1,3,2-диоксафосфинан-5-ил)метил]метилфосфонат; 2,4,6- трипропил-1,3,5,2,4,6-триоксатрифосфинан 2,4,6-триоксид; диметилпропилфосфонат; диэтилэтилфосфонат; натрий 3-(тригидроксисилил)пропилметил-фосфонат; смеси, состоящие главным образом из метилфосфоновой кислоты и (аминоиминометил)мочевины (в соотношении 50:50)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нафазолина гидрохлорид (INNM) </w:t>
            </w:r>
          </w:p>
          <w:p>
            <w:pPr>
              <w:spacing w:after="20"/>
              <w:ind w:left="20"/>
              <w:jc w:val="both"/>
            </w:pPr>
            <w:r>
              <w:rPr>
                <w:rFonts w:ascii="Times New Roman"/>
                <w:b w:val="false"/>
                <w:i w:val="false"/>
                <w:color w:val="000000"/>
                <w:sz w:val="20"/>
              </w:rPr>
              <w:t>
и нафазолина нитрат (INNM); фентоламин (INN); толазолина гидрохлорид (INNM)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спеpмицидов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плюс </w:t>
            </w:r>
          </w:p>
          <w:p>
            <w:pPr>
              <w:spacing w:after="20"/>
              <w:ind w:left="20"/>
              <w:jc w:val="both"/>
            </w:pPr>
            <w:r>
              <w:rPr>
                <w:rFonts w:ascii="Times New Roman"/>
                <w:b w:val="false"/>
                <w:i w:val="false"/>
                <w:color w:val="000000"/>
                <w:sz w:val="20"/>
              </w:rPr>
              <w:t>
0,02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w:t>
            </w:r>
          </w:p>
          <w:p>
            <w:pPr>
              <w:spacing w:after="20"/>
              <w:ind w:left="20"/>
              <w:jc w:val="both"/>
            </w:pPr>
            <w:r>
              <w:rPr>
                <w:rFonts w:ascii="Times New Roman"/>
                <w:b w:val="false"/>
                <w:i w:val="false"/>
                <w:color w:val="000000"/>
                <w:sz w:val="20"/>
              </w:rPr>
              <w:t>
для производства сульфохлорированного полиэтилена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0,165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2-этилгексилакрилата, содержащий 10 мас.% или более, но не более 11 мас.% 2-этилгексилакрилата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w:t>
            </w:r>
          </w:p>
          <w:p>
            <w:pPr>
              <w:spacing w:after="20"/>
              <w:ind w:left="20"/>
              <w:jc w:val="both"/>
            </w:pPr>
            <w:r>
              <w:rPr>
                <w:rFonts w:ascii="Times New Roman"/>
                <w:b w:val="false"/>
                <w:i w:val="false"/>
                <w:color w:val="000000"/>
                <w:sz w:val="20"/>
              </w:rPr>
              <w:t>
         полиэтилена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менее 15 дюймов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4,34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15 дюймов или более, но не более 16 дюймов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4,34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4,34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из шореи с темно-красной древесиной, шореи с бледно-красной древесиной, терминалии пышной, махогониевого дерева (Swietenia sрр.), триплохитона твердосмольного, аукумеи Кляйна,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обои и аналогичные настенные покрытия, состоящее из бумаги, покрытой с лицевой стороны материалом для плетения, соединенным или не соединенным в параллельные пряди или тканым или нетканым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более 25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w:t>
            </w:r>
          </w:p>
          <w:p>
            <w:pPr>
              <w:spacing w:after="20"/>
              <w:ind w:left="20"/>
              <w:jc w:val="both"/>
            </w:pPr>
            <w:r>
              <w:rPr>
                <w:rFonts w:ascii="Times New Roman"/>
                <w:b w:val="false"/>
                <w:i w:val="false"/>
                <w:color w:val="000000"/>
                <w:sz w:val="20"/>
              </w:rPr>
              <w:t>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просвечивающие ткани (ажурного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 но не более 375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 но не более 375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3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0,42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но не менее 0,34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но не менее 0,34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джутового волокна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или из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мужчин или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тонкие джемперы и пуловеры трикотажной вязки с воротом "поло" или высоким одинарным или двойным воротом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перчатки, варежки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трикотажного полотна машинного или ручного вязания товарной позиции 5906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пропитанные или с покрытием резиной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комбинезоны с нагрудниками и лямками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6201 11 – 6201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6202 11 – 6202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производственная и профессиональная одежда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производственная и профессиональная одежда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наборе, состоящем из бюстгальтера и трусов, предназначенном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но не менее 0,54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0,59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войлока или фетра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0,353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подошвой и каблуком высотой более 3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но не менее 0,71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0,56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но не менее 0,64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0,56 евро </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w:t>
            </w:r>
            <w:r>
              <w:rPr>
                <w:rFonts w:ascii="Times New Roman"/>
                <w:b w:val="false"/>
                <w:i w:val="false"/>
                <w:color w:val="000000"/>
                <w:vertAlign w:val="superscript"/>
              </w:rPr>
              <w:t>2</w:t>
            </w:r>
            <w:r>
              <w:rPr>
                <w:rFonts w:ascii="Times New Roman"/>
                <w:b w:val="false"/>
                <w:i w:val="false"/>
                <w:color w:val="000000"/>
                <w:sz w:val="20"/>
              </w:rPr>
              <w:t>, из нитей линейной плотности не более 136 текс на одиночную нить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w:t>
            </w:r>
          </w:p>
          <w:p>
            <w:pPr>
              <w:spacing w:after="20"/>
              <w:ind w:left="20"/>
              <w:jc w:val="both"/>
            </w:pPr>
            <w:r>
              <w:rPr>
                <w:rFonts w:ascii="Times New Roman"/>
                <w:b w:val="false"/>
                <w:i w:val="false"/>
                <w:color w:val="000000"/>
                <w:sz w:val="20"/>
              </w:rPr>
              <w:t>
с равномерной толщиной стенки для использования исключительно в производстве труб другого сечения и с другой толщиной стенки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30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0,156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340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17С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верхней загрузкой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6 кг сухого белья, но не более 10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0С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21С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входным напряжением постоянного тока не менее 2 кВ, но не более 4 кВ, содержащие четыре выходных канала  с суммарной мощностью 386 кВА и с выходными напряжениями переменного тока на одном из каналов 380 В/50 Гц, на другом 456 В/60 Гц и на двух каналах или 380 В/50 Гц, или 240 В/40 Гц, или 95 В/25 Гц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входным напряжением постоянного тока 3 кВ или входным напряжением переменного тока </w:t>
            </w:r>
          </w:p>
          <w:p>
            <w:pPr>
              <w:spacing w:after="20"/>
              <w:ind w:left="20"/>
              <w:jc w:val="both"/>
            </w:pPr>
            <w:r>
              <w:rPr>
                <w:rFonts w:ascii="Times New Roman"/>
                <w:b w:val="false"/>
                <w:i w:val="false"/>
                <w:color w:val="000000"/>
                <w:sz w:val="20"/>
              </w:rPr>
              <w:t xml:space="preserve">
1659 В/50 Гц, содержащие </w:t>
            </w:r>
          </w:p>
          <w:p>
            <w:pPr>
              <w:spacing w:after="20"/>
              <w:ind w:left="20"/>
              <w:jc w:val="both"/>
            </w:pPr>
            <w:r>
              <w:rPr>
                <w:rFonts w:ascii="Times New Roman"/>
                <w:b w:val="false"/>
                <w:i w:val="false"/>
                <w:color w:val="000000"/>
                <w:sz w:val="20"/>
              </w:rPr>
              <w:t>
2 выходных канала с широтно-импульсной модуляцией частотой от 0 до 190 Гц, напряжением 2340 В и выходной мощностью 1200 кВт в каждом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2,57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2,86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для радиотелеграфной или радиотелефонной аппаратуры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штырьевые для портативных аппаратов или аппаратов, устанавливаемых в моторных транспортных средствах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грампластинок, включаемые монетой или жетоном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тремя или более передающими трубками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14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18,67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22,67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56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жидкокристаллических дисплеев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плазменных панелей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0,035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0,035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рефлекторные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0,043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0,043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23С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23С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23С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трелевочные тракторы (скиддеры) для лесного хозяйства, колесные, новые, </w:t>
            </w:r>
          </w:p>
          <w:p>
            <w:pPr>
              <w:spacing w:after="20"/>
              <w:ind w:left="20"/>
              <w:jc w:val="both"/>
            </w:pPr>
            <w:r>
              <w:rPr>
                <w:rFonts w:ascii="Times New Roman"/>
                <w:b w:val="false"/>
                <w:i w:val="false"/>
                <w:color w:val="000000"/>
                <w:sz w:val="20"/>
              </w:rPr>
              <w:t>
с мощностью двигателя более 90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Таможенного союза 6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но не менее 1,95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содержащие в качестве ходовых исключительно электродвигатели (один или несколько)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24С</w:t>
            </w:r>
            <w:r>
              <w:rPr>
                <w:rFonts w:ascii="Times New Roman"/>
                <w:b w:val="false"/>
                <w:i w:val="false"/>
                <w:color w:val="000000"/>
                <w:sz w:val="20"/>
              </w:rPr>
              <w: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складывающиеся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750 кг, но не более 1600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1600 кг, но не более 3500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самолеты военно-транспортные, оснащенные грузовой рампой, </w:t>
            </w:r>
          </w:p>
          <w:p>
            <w:pPr>
              <w:spacing w:after="20"/>
              <w:ind w:left="20"/>
              <w:jc w:val="both"/>
            </w:pPr>
            <w:r>
              <w:rPr>
                <w:rFonts w:ascii="Times New Roman"/>
                <w:b w:val="false"/>
                <w:i w:val="false"/>
                <w:color w:val="000000"/>
                <w:sz w:val="20"/>
              </w:rPr>
              <w:t xml:space="preserve">
с массой пустого снаряженного аппарата более 12 000 кг, но не более 13 000 кг </w:t>
            </w:r>
            <w:r>
              <w:rPr>
                <w:rFonts w:ascii="Times New Roman"/>
                <w:b w:val="false"/>
                <w:i w:val="false"/>
                <w:color w:val="000000"/>
                <w:vertAlign w:val="superscript"/>
              </w:rPr>
              <w:t>14</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суборбитальные и космические ракеты-носители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кухонная секционная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0,607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bl>
    <w:p>
      <w:pPr>
        <w:spacing w:after="0"/>
        <w:ind w:left="0"/>
        <w:jc w:val="left"/>
      </w:pPr>
    </w:p>
    <w:bookmarkStart w:name="z19" w:id="14"/>
    <w:p>
      <w:pPr>
        <w:spacing w:after="0"/>
        <w:ind w:left="0"/>
        <w:jc w:val="both"/>
      </w:pPr>
      <w:r>
        <w:rPr>
          <w:rFonts w:ascii="Times New Roman"/>
          <w:b w:val="false"/>
          <w:i w:val="false"/>
          <w:color w:val="000000"/>
          <w:sz w:val="28"/>
        </w:rPr>
        <w:t xml:space="preserve">
      Примечание. Значения ссылок на примечания 1С – 4С, 7С – 10С, 15С, 17С, 20С – 21С, 23С – 25С к Единому таможенному тарифу Таможенного союза, содержащихся в настоящем приложении, установлены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26 мая 2014 г. № 77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июня 2014 г. № 47</w:t>
            </w:r>
          </w:p>
        </w:tc>
      </w:tr>
    </w:tbl>
    <w:bookmarkStart w:name="z18" w:id="15"/>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w:t>
      </w:r>
      <w:r>
        <w:br/>
      </w:r>
      <w:r>
        <w:rPr>
          <w:rFonts w:ascii="Times New Roman"/>
          <w:b/>
          <w:i w:val="false"/>
          <w:color w:val="000000"/>
        </w:rPr>
        <w:t>Таможенного союза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
(в процентах от таможенной стоимости либо в евро, либо в долларах США)</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w:t>
            </w:r>
            <w:r>
              <w:rPr>
                <w:rFonts w:ascii="Times New Roman"/>
                <w:b w:val="false"/>
                <w:i w:val="false"/>
                <w:color w:val="000000"/>
                <w:vertAlign w:val="superscript"/>
              </w:rPr>
              <w:t>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