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9917" w14:textId="e3d9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углеводородов ациклических насыщенных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сентября 2014 года № 66.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Таможенного союза 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Таможенного союза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Таможенного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внести в группу 29 единой Товарной номенклатуры внешнеэкономической деятельности Таможенного союза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внесения изменений в указанный Перечень решения об изменении ставок ввозных таможенных пошлин в отношении товаров,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принимаются Советом Евразийской экономической комиссии.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г. № 66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</w:t>
      </w:r>
      <w:r>
        <w:br/>
      </w:r>
      <w:r>
        <w:rPr>
          <w:rFonts w:ascii="Times New Roman"/>
          <w:b/>
          <w:i w:val="false"/>
          <w:color w:val="000000"/>
        </w:rPr>
        <w:t>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2901 10 000 0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насыщенные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г. № 66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</w:t>
      </w:r>
      <w:r>
        <w:br/>
      </w:r>
      <w:r>
        <w:rPr>
          <w:rFonts w:ascii="Times New Roman"/>
          <w:b/>
          <w:i w:val="false"/>
          <w:color w:val="000000"/>
        </w:rPr>
        <w:t>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2901 10 000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насыщенные: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2901 10 000 1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этан; бутан; изобутан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2901 10 000 2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пентан; изопентан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2901 10 000 9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г. № 66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2901 10 000 1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этан; бутан; изобутан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2901 10 000 2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пентан; изопентан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2901 10 000 9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г. № 66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группу 29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дополнительными примечаниями Таможенного союза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"Дополнительные примечания Таможенного союза: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подсубпозицию 2901 10 000 1 включаются этан, бутан и изобутан в виде отдельных изомеров чистотой 95 % или более. Указанное процентное содержание соединений вычисляется соответственно по объему для газообразных продуктов или по массе для сжиженных продуктов. Этан, бутан и изобутан, имеющие меньшую степень чистоты, относятся к товарной позиции 2711.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подсубпозицию 2901 10 000 2 включаются пентан и изопентан в виде отдельных изомеров чистотой 95 мас. % или более.".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