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4d37" w14:textId="4b54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Совета Евразийской экономической комиссии от 10 декабря 2014 года № 113. Утратило силу решением Совета Евразийской экономической комиссии от 27 мая 2020 года № 51</w:t>
      </w:r>
    </w:p>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27.05.2020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ff0000"/>
          <w:sz w:val="28"/>
        </w:rPr>
        <w:t>
      Сноска. По тексту знаки сносок "*", "**", "***" и "****" заменены соответственно знаками сносок "</w:t>
      </w:r>
      <w:r>
        <w:rPr>
          <w:rFonts w:ascii="Times New Roman"/>
          <w:b w:val="false"/>
          <w:i w:val="false"/>
          <w:color w:val="ff0000"/>
          <w:vertAlign w:val="superscript"/>
        </w:rPr>
        <w:t>1</w:t>
      </w:r>
      <w:r>
        <w:rPr>
          <w:rFonts w:ascii="Times New Roman"/>
          <w:b w:val="false"/>
          <w:i w:val="false"/>
          <w:color w:val="ff0000"/>
          <w:sz w:val="28"/>
        </w:rPr>
        <w:t>", "</w:t>
      </w:r>
      <w:r>
        <w:rPr>
          <w:rFonts w:ascii="Times New Roman"/>
          <w:b w:val="false"/>
          <w:i w:val="false"/>
          <w:color w:val="ff0000"/>
          <w:vertAlign w:val="superscript"/>
        </w:rPr>
        <w:t>2</w:t>
      </w:r>
      <w:r>
        <w:rPr>
          <w:rFonts w:ascii="Times New Roman"/>
          <w:b w:val="false"/>
          <w:i w:val="false"/>
          <w:color w:val="ff0000"/>
          <w:sz w:val="28"/>
        </w:rPr>
        <w:t>", "</w:t>
      </w:r>
      <w:r>
        <w:rPr>
          <w:rFonts w:ascii="Times New Roman"/>
          <w:b w:val="false"/>
          <w:i w:val="false"/>
          <w:color w:val="ff0000"/>
          <w:vertAlign w:val="superscript"/>
        </w:rPr>
        <w:t>3</w:t>
      </w:r>
      <w:r>
        <w:rPr>
          <w:rFonts w:ascii="Times New Roman"/>
          <w:b w:val="false"/>
          <w:i w:val="false"/>
          <w:color w:val="ff0000"/>
          <w:sz w:val="28"/>
        </w:rPr>
        <w:t>" и "</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Совета Евразийской экономической комиссии от 22.10.2018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подписанием 10 октября 2014 г. </w:t>
      </w:r>
      <w:r>
        <w:rPr>
          <w:rFonts w:ascii="Times New Roman"/>
          <w:b w:val="false"/>
          <w:i w:val="false"/>
          <w:color w:val="000000"/>
          <w:sz w:val="28"/>
        </w:rPr>
        <w:t>Договора</w:t>
      </w:r>
      <w:r>
        <w:rPr>
          <w:rFonts w:ascii="Times New Roman"/>
          <w:b w:val="false"/>
          <w:i w:val="false"/>
          <w:color w:val="000000"/>
          <w:sz w:val="28"/>
        </w:rPr>
        <w:t xml:space="preserve"> о присоединении Республики Армения к Договору о Евразийском экономическом союзе от 29 мая 2014 года, с учетом пункта 40 приложения № 3 к указанному Договору и в соответствии со статьей 42 Договора о Евразийском экономическом союзе от 29 мая 2014 года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 но не ранее даты вступления в силу Договора от 10 октября 2014 года о присоединении Республики Армения к Договору о Евразийском экономическом союзе от 29 мая 2014 года.</w:t>
      </w:r>
    </w:p>
    <w:bookmarkEnd w:id="2"/>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Беларусь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
Федерации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10 декабря 2014 г. № 113</w:t>
            </w:r>
          </w:p>
        </w:tc>
      </w:tr>
    </w:tbl>
    <w:bookmarkStart w:name="z5" w:id="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 ставок, в отношении которых в течение</w:t>
      </w:r>
      <w:r>
        <w:br/>
      </w:r>
      <w:r>
        <w:rPr>
          <w:rFonts w:ascii="Times New Roman"/>
          <w:b/>
          <w:i w:val="false"/>
          <w:color w:val="000000"/>
        </w:rPr>
        <w:t>переходного периода Республикой Армения применяются</w:t>
      </w:r>
      <w:r>
        <w:br/>
      </w:r>
      <w:r>
        <w:rPr>
          <w:rFonts w:ascii="Times New Roman"/>
          <w:b/>
          <w:i w:val="false"/>
          <w:color w:val="000000"/>
        </w:rPr>
        <w:t>ставки ввозных таможенных пошлин, отличные от ставок</w:t>
      </w:r>
      <w:r>
        <w:br/>
      </w:r>
      <w:r>
        <w:rPr>
          <w:rFonts w:ascii="Times New Roman"/>
          <w:b/>
          <w:i w:val="false"/>
          <w:color w:val="000000"/>
        </w:rPr>
        <w:t>Единого таможенного тарифа Евразийского экономического союза</w:t>
      </w:r>
    </w:p>
    <w:bookmarkEnd w:id="3"/>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27.01.2015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Совета Евразийской экономической комиссии от 23.04.2015 </w:t>
      </w:r>
      <w:r>
        <w:rPr>
          <w:rFonts w:ascii="Times New Roman"/>
          <w:b w:val="false"/>
          <w:i w:val="false"/>
          <w:color w:val="ff0000"/>
          <w:sz w:val="28"/>
        </w:rPr>
        <w:t>№ 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02.02.2016 </w:t>
      </w:r>
      <w:r>
        <w:rPr>
          <w:rFonts w:ascii="Times New Roman"/>
          <w:b w:val="false"/>
          <w:i w:val="false"/>
          <w:color w:val="ff0000"/>
          <w:sz w:val="28"/>
        </w:rPr>
        <w:t>№ 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17.03.2016 </w:t>
      </w:r>
      <w:r>
        <w:rPr>
          <w:rFonts w:ascii="Times New Roman"/>
          <w:b w:val="false"/>
          <w:i w:val="false"/>
          <w:color w:val="ff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29.03.2016 </w:t>
      </w:r>
      <w:r>
        <w:rPr>
          <w:rFonts w:ascii="Times New Roman"/>
          <w:b w:val="false"/>
          <w:i w:val="false"/>
          <w:color w:val="ff0000"/>
          <w:sz w:val="28"/>
        </w:rPr>
        <w:t>№ 26</w:t>
      </w:r>
      <w:r>
        <w:rPr>
          <w:rFonts w:ascii="Times New Roman"/>
          <w:b w:val="false"/>
          <w:i w:val="false"/>
          <w:color w:val="ff0000"/>
          <w:sz w:val="28"/>
        </w:rPr>
        <w:t xml:space="preserve"> (вступает в силу с 01.09.2016); от 29.03.2016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16.05.2016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11.07.2016 </w:t>
      </w:r>
      <w:r>
        <w:rPr>
          <w:rFonts w:ascii="Times New Roman"/>
          <w:b w:val="false"/>
          <w:i w:val="false"/>
          <w:color w:val="ff0000"/>
          <w:sz w:val="28"/>
        </w:rPr>
        <w:t>№ 53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2 сентября 2016 г.); решением Коллегии Евразийской экономической комиссии от 31.01.2017 </w:t>
      </w:r>
      <w:r>
        <w:rPr>
          <w:rFonts w:ascii="Times New Roman"/>
          <w:b w:val="false"/>
          <w:i w:val="false"/>
          <w:color w:val="ff0000"/>
          <w:sz w:val="28"/>
        </w:rPr>
        <w:t>№ 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11.05.2017 </w:t>
      </w:r>
      <w:r>
        <w:rPr>
          <w:rFonts w:ascii="Times New Roman"/>
          <w:b w:val="false"/>
          <w:i w:val="false"/>
          <w:color w:val="ff0000"/>
          <w:sz w:val="28"/>
        </w:rPr>
        <w:t xml:space="preserve">№ 44 </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01.09.2017); Совета Евразийской экономической комиссии от 22.08.2017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02.09.2017); Коллегии Евразийской экономической комиссии от 07.11.2017 </w:t>
      </w:r>
      <w:r>
        <w:rPr>
          <w:rFonts w:ascii="Times New Roman"/>
          <w:b w:val="false"/>
          <w:i w:val="false"/>
          <w:color w:val="ff0000"/>
          <w:sz w:val="28"/>
        </w:rPr>
        <w:t>№ 141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01.09.2017); от 24.04.2018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22.10.2018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05.12.2018 </w:t>
      </w:r>
      <w:r>
        <w:rPr>
          <w:rFonts w:ascii="Times New Roman"/>
          <w:b w:val="false"/>
          <w:i w:val="false"/>
          <w:color w:val="ff0000"/>
          <w:sz w:val="28"/>
        </w:rPr>
        <w:t>№ 97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29.01.2019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Совета Евразийской экономической комиссии от 28.05.2019 </w:t>
      </w:r>
      <w:r>
        <w:rPr>
          <w:rFonts w:ascii="Times New Roman"/>
          <w:b w:val="false"/>
          <w:i w:val="false"/>
          <w:color w:val="ff0000"/>
          <w:sz w:val="28"/>
        </w:rPr>
        <w:t>№ 59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 xml:space="preserve">); Коллегии Евразийской экономической комиссии от 25.06.2019 </w:t>
      </w:r>
      <w:r>
        <w:rPr>
          <w:rFonts w:ascii="Times New Roman"/>
          <w:b w:val="false"/>
          <w:i w:val="false"/>
          <w:color w:val="ff0000"/>
          <w:sz w:val="28"/>
        </w:rPr>
        <w:t>№ 106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21.02.2020 </w:t>
      </w:r>
      <w:r>
        <w:rPr>
          <w:rFonts w:ascii="Times New Roman"/>
          <w:b w:val="false"/>
          <w:i w:val="false"/>
          <w:color w:val="ff0000"/>
          <w:sz w:val="28"/>
        </w:rPr>
        <w:t>№ 15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5529"/>
        <w:gridCol w:w="641"/>
        <w:gridCol w:w="641"/>
        <w:gridCol w:w="641"/>
        <w:gridCol w:w="641"/>
        <w:gridCol w:w="641"/>
        <w:gridCol w:w="641"/>
        <w:gridCol w:w="641"/>
        <w:gridCol w:w="641"/>
      </w:tblGrid>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позиции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2015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2016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2017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2018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2019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2020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2021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2022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не более 11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более 11 мас.%, но не более 27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w:t>
            </w:r>
          </w:p>
          <w:p>
            <w:pPr>
              <w:spacing w:after="20"/>
              <w:ind w:left="20"/>
              <w:jc w:val="both"/>
            </w:pPr>
            <w:r>
              <w:rPr>
                <w:rFonts w:ascii="Times New Roman"/>
                <w:b w:val="false"/>
                <w:i w:val="false"/>
                <w:color w:val="000000"/>
                <w:sz w:val="20"/>
              </w:rPr>
              <w:t>
1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w:t>
            </w:r>
          </w:p>
          <w:p>
            <w:pPr>
              <w:spacing w:after="20"/>
              <w:ind w:left="20"/>
              <w:jc w:val="both"/>
            </w:pPr>
            <w:r>
              <w:rPr>
                <w:rFonts w:ascii="Times New Roman"/>
                <w:b w:val="false"/>
                <w:i w:val="false"/>
                <w:color w:val="000000"/>
                <w:sz w:val="20"/>
              </w:rPr>
              <w:t>
60 мас.% или более, но не более 75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более 75 мас.%, но менее 80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семенной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кроме переработки на масло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столовых сортов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коринка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арбузы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0809 40 050 0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сливы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чернослив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персики, включая нектарины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груши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одноразовой упаковке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одноразовой упаковке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простые гибриды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w:t>
            </w:r>
          </w:p>
          <w:p>
            <w:pPr>
              <w:spacing w:after="20"/>
              <w:ind w:left="20"/>
              <w:jc w:val="both"/>
            </w:pPr>
            <w:r>
              <w:rPr>
                <w:rFonts w:ascii="Times New Roman"/>
                <w:b w:val="false"/>
                <w:i w:val="false"/>
                <w:color w:val="000000"/>
                <w:sz w:val="20"/>
              </w:rPr>
              <w:t>
менее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w:t>
            </w:r>
          </w:p>
          <w:p>
            <w:pPr>
              <w:spacing w:after="20"/>
              <w:ind w:left="20"/>
              <w:jc w:val="both"/>
            </w:pPr>
            <w:r>
              <w:rPr>
                <w:rFonts w:ascii="Times New Roman"/>
                <w:b w:val="false"/>
                <w:i w:val="false"/>
                <w:color w:val="000000"/>
                <w:sz w:val="20"/>
              </w:rPr>
              <w:t>
менее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w:t>
            </w:r>
          </w:p>
          <w:p>
            <w:pPr>
              <w:spacing w:after="20"/>
              <w:ind w:left="20"/>
              <w:jc w:val="both"/>
            </w:pPr>
            <w:r>
              <w:rPr>
                <w:rFonts w:ascii="Times New Roman"/>
                <w:b w:val="false"/>
                <w:i w:val="false"/>
                <w:color w:val="000000"/>
                <w:sz w:val="20"/>
              </w:rPr>
              <w:t>
менее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w:t>
            </w:r>
          </w:p>
          <w:p>
            <w:pPr>
              <w:spacing w:after="20"/>
              <w:ind w:left="20"/>
              <w:jc w:val="both"/>
            </w:pPr>
            <w:r>
              <w:rPr>
                <w:rFonts w:ascii="Times New Roman"/>
                <w:b w:val="false"/>
                <w:i w:val="false"/>
                <w:color w:val="000000"/>
                <w:sz w:val="20"/>
              </w:rPr>
              <w:t>
менее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поджаренный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подсолнечное масло или его фракции в первичных упаковках нетто-объемом 10 л или менее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патока крахмальная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детское питание, расфасованное для розничной продажи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растворимые рыбные продукты или продукты из морских млекопитающих животных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2309 90 330 0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10 мас.%, но менее 50 мас.% молочных продуктов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50 мас.%, но менее 75 мас.% молочных продуктов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2309 90 700 0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крахмала, глюкозы, сиропа глюкозы, мальтодекстрина или сиропа мальтодекстрина, но содержащие молочные продукты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49 мас.% или более хлорида холина, на органической или неорганической основе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2401 20 350 0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светлый табак теневой сушки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типа Вирджиния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2401 20 950 0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табачные отходы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менее 80 (по исследовательскому методу)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80 или более, но менее 92 (по исследовательскому методу)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95 или более, но менее 98 (по исследовательскому методу)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топливо для реактивных двигателей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жидкости для гидравлических целей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для шестерен и масло для редукторов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составы для обработки металлов, масла для смазывания форм, антикоррозионные масла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2711 13 970 0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2830 90 850 0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кадмия; хрома; цинка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квасцы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пероксосульфаты (персульфаты)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бария; бериллия; кадмия; кобальта; никеля; свинца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пеpманганат калия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нормальный изомер)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этилванилин </w:t>
            </w:r>
          </w:p>
          <w:p>
            <w:pPr>
              <w:spacing w:after="20"/>
              <w:ind w:left="20"/>
              <w:jc w:val="both"/>
            </w:pPr>
            <w:r>
              <w:rPr>
                <w:rFonts w:ascii="Times New Roman"/>
                <w:b w:val="false"/>
                <w:i w:val="false"/>
                <w:color w:val="000000"/>
                <w:sz w:val="20"/>
              </w:rPr>
              <w:t>
(3-этокси-4-гидроксибензальдегид)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метальдегид для производства химических средств защиты растений</w:t>
            </w:r>
            <w:r>
              <w:rPr>
                <w:rFonts w:ascii="Times New Roman"/>
                <w:b w:val="false"/>
                <w:i w:val="false"/>
                <w:color w:val="000000"/>
                <w:vertAlign w:val="superscript"/>
              </w:rPr>
              <w:t>5)</w:t>
            </w:r>
            <w:r>
              <w:rPr>
                <w:rFonts w:ascii="Times New Roman"/>
                <w:b w:val="false"/>
                <w:i w:val="false"/>
                <w:color w:val="000000"/>
                <w:vertAlign w:val="superscript"/>
              </w:rPr>
              <w:t xml:space="preserv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м-фенилендиамин чистотой 99 мас.% или более и содержащий: </w:t>
            </w:r>
          </w:p>
          <w:p>
            <w:pPr>
              <w:spacing w:after="20"/>
              <w:ind w:left="20"/>
              <w:jc w:val="both"/>
            </w:pPr>
            <w:r>
              <w:rPr>
                <w:rFonts w:ascii="Times New Roman"/>
                <w:b w:val="false"/>
                <w:i w:val="false"/>
                <w:color w:val="000000"/>
                <w:sz w:val="20"/>
              </w:rPr>
              <w:t>
- 1 мас.% или менее воды,</w:t>
            </w:r>
          </w:p>
          <w:p>
            <w:pPr>
              <w:spacing w:after="20"/>
              <w:ind w:left="20"/>
              <w:jc w:val="both"/>
            </w:pPr>
            <w:r>
              <w:rPr>
                <w:rFonts w:ascii="Times New Roman"/>
                <w:b w:val="false"/>
                <w:i w:val="false"/>
                <w:color w:val="000000"/>
                <w:sz w:val="20"/>
              </w:rPr>
              <w:t xml:space="preserve">
- 200 мг/кг или менее о-фенилендиамина, и - 450 мг/кг или менее </w:t>
            </w:r>
          </w:p>
          <w:p>
            <w:pPr>
              <w:spacing w:after="20"/>
              <w:ind w:left="20"/>
              <w:jc w:val="both"/>
            </w:pPr>
            <w:r>
              <w:rPr>
                <w:rFonts w:ascii="Times New Roman"/>
                <w:b w:val="false"/>
                <w:i w:val="false"/>
                <w:color w:val="000000"/>
                <w:sz w:val="20"/>
              </w:rPr>
              <w:t>
п-фенилендиамина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хлормекватхлорид для производства химических средств защиты растений</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w:t>
            </w:r>
          </w:p>
          <w:p>
            <w:pPr>
              <w:spacing w:after="20"/>
              <w:ind w:left="20"/>
              <w:jc w:val="both"/>
            </w:pPr>
            <w:r>
              <w:rPr>
                <w:rFonts w:ascii="Times New Roman"/>
                <w:b w:val="false"/>
                <w:i w:val="false"/>
                <w:color w:val="000000"/>
                <w:sz w:val="20"/>
              </w:rPr>
              <w:t>
эфедрин или его соли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w:t>
            </w:r>
          </w:p>
          <w:p>
            <w:pPr>
              <w:spacing w:after="20"/>
              <w:ind w:left="20"/>
              <w:jc w:val="both"/>
            </w:pPr>
            <w:r>
              <w:rPr>
                <w:rFonts w:ascii="Times New Roman"/>
                <w:b w:val="false"/>
                <w:i w:val="false"/>
                <w:color w:val="000000"/>
                <w:sz w:val="20"/>
              </w:rPr>
              <w:t xml:space="preserve">
псевдоэфедрин </w:t>
            </w:r>
          </w:p>
          <w:p>
            <w:pPr>
              <w:spacing w:after="20"/>
              <w:ind w:left="20"/>
              <w:jc w:val="both"/>
            </w:pPr>
            <w:r>
              <w:rPr>
                <w:rFonts w:ascii="Times New Roman"/>
                <w:b w:val="false"/>
                <w:i w:val="false"/>
                <w:color w:val="000000"/>
                <w:sz w:val="20"/>
              </w:rPr>
              <w:t>
или его соли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w:t>
            </w:r>
          </w:p>
          <w:p>
            <w:pPr>
              <w:spacing w:after="20"/>
              <w:ind w:left="20"/>
              <w:jc w:val="both"/>
            </w:pPr>
            <w:r>
              <w:rPr>
                <w:rFonts w:ascii="Times New Roman"/>
                <w:b w:val="false"/>
                <w:i w:val="false"/>
                <w:color w:val="000000"/>
                <w:sz w:val="20"/>
              </w:rPr>
              <w:t xml:space="preserve">
норэфедрин или </w:t>
            </w:r>
          </w:p>
          <w:p>
            <w:pPr>
              <w:spacing w:after="20"/>
              <w:ind w:left="20"/>
              <w:jc w:val="both"/>
            </w:pPr>
            <w:r>
              <w:rPr>
                <w:rFonts w:ascii="Times New Roman"/>
                <w:b w:val="false"/>
                <w:i w:val="false"/>
                <w:color w:val="000000"/>
                <w:sz w:val="20"/>
              </w:rPr>
              <w:t>
его соли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расфасованные </w:t>
            </w:r>
          </w:p>
          <w:p>
            <w:pPr>
              <w:spacing w:after="20"/>
              <w:ind w:left="20"/>
              <w:jc w:val="both"/>
            </w:pPr>
            <w:r>
              <w:rPr>
                <w:rFonts w:ascii="Times New Roman"/>
                <w:b w:val="false"/>
                <w:i w:val="false"/>
                <w:color w:val="000000"/>
                <w:sz w:val="20"/>
              </w:rPr>
              <w:t xml:space="preserve">
в формы или </w:t>
            </w:r>
          </w:p>
          <w:p>
            <w:pPr>
              <w:spacing w:after="20"/>
              <w:ind w:left="20"/>
              <w:jc w:val="both"/>
            </w:pPr>
            <w:r>
              <w:rPr>
                <w:rFonts w:ascii="Times New Roman"/>
                <w:b w:val="false"/>
                <w:i w:val="false"/>
                <w:color w:val="000000"/>
                <w:sz w:val="20"/>
              </w:rPr>
              <w:t xml:space="preserve">
упаковки для </w:t>
            </w:r>
          </w:p>
          <w:p>
            <w:pPr>
              <w:spacing w:after="20"/>
              <w:ind w:left="20"/>
              <w:jc w:val="both"/>
            </w:pPr>
            <w:r>
              <w:rPr>
                <w:rFonts w:ascii="Times New Roman"/>
                <w:b w:val="false"/>
                <w:i w:val="false"/>
                <w:color w:val="000000"/>
                <w:sz w:val="20"/>
              </w:rPr>
              <w:t xml:space="preserve">
розничной </w:t>
            </w:r>
          </w:p>
          <w:p>
            <w:pPr>
              <w:spacing w:after="20"/>
              <w:ind w:left="20"/>
              <w:jc w:val="both"/>
            </w:pPr>
            <w:r>
              <w:rPr>
                <w:rFonts w:ascii="Times New Roman"/>
                <w:b w:val="false"/>
                <w:i w:val="false"/>
                <w:color w:val="000000"/>
                <w:sz w:val="20"/>
              </w:rPr>
              <w:t xml:space="preserve">
продажи и </w:t>
            </w:r>
          </w:p>
          <w:p>
            <w:pPr>
              <w:spacing w:after="20"/>
              <w:ind w:left="20"/>
              <w:jc w:val="both"/>
            </w:pPr>
            <w:r>
              <w:rPr>
                <w:rFonts w:ascii="Times New Roman"/>
                <w:b w:val="false"/>
                <w:i w:val="false"/>
                <w:color w:val="000000"/>
                <w:sz w:val="20"/>
              </w:rPr>
              <w:t xml:space="preserve">
содержащие в </w:t>
            </w:r>
          </w:p>
          <w:p>
            <w:pPr>
              <w:spacing w:after="20"/>
              <w:ind w:left="20"/>
              <w:jc w:val="both"/>
            </w:pPr>
            <w:r>
              <w:rPr>
                <w:rFonts w:ascii="Times New Roman"/>
                <w:b w:val="false"/>
                <w:i w:val="false"/>
                <w:color w:val="000000"/>
                <w:sz w:val="20"/>
              </w:rPr>
              <w:t xml:space="preserve">
качестве </w:t>
            </w:r>
          </w:p>
          <w:p>
            <w:pPr>
              <w:spacing w:after="20"/>
              <w:ind w:left="20"/>
              <w:jc w:val="both"/>
            </w:pPr>
            <w:r>
              <w:rPr>
                <w:rFonts w:ascii="Times New Roman"/>
                <w:b w:val="false"/>
                <w:i w:val="false"/>
                <w:color w:val="000000"/>
                <w:sz w:val="20"/>
              </w:rPr>
              <w:t xml:space="preserve">
основного </w:t>
            </w:r>
          </w:p>
          <w:p>
            <w:pPr>
              <w:spacing w:after="20"/>
              <w:ind w:left="20"/>
              <w:jc w:val="both"/>
            </w:pPr>
            <w:r>
              <w:rPr>
                <w:rFonts w:ascii="Times New Roman"/>
                <w:b w:val="false"/>
                <w:i w:val="false"/>
                <w:color w:val="000000"/>
                <w:sz w:val="20"/>
              </w:rPr>
              <w:t xml:space="preserve">
действующего </w:t>
            </w:r>
          </w:p>
          <w:p>
            <w:pPr>
              <w:spacing w:after="20"/>
              <w:ind w:left="20"/>
              <w:jc w:val="both"/>
            </w:pPr>
            <w:r>
              <w:rPr>
                <w:rFonts w:ascii="Times New Roman"/>
                <w:b w:val="false"/>
                <w:i w:val="false"/>
                <w:color w:val="000000"/>
                <w:sz w:val="20"/>
              </w:rPr>
              <w:t xml:space="preserve">
вещества </w:t>
            </w:r>
          </w:p>
          <w:p>
            <w:pPr>
              <w:spacing w:after="20"/>
              <w:ind w:left="20"/>
              <w:jc w:val="both"/>
            </w:pPr>
            <w:r>
              <w:rPr>
                <w:rFonts w:ascii="Times New Roman"/>
                <w:b w:val="false"/>
                <w:i w:val="false"/>
                <w:color w:val="000000"/>
                <w:sz w:val="20"/>
              </w:rPr>
              <w:t xml:space="preserve">
только: </w:t>
            </w:r>
          </w:p>
          <w:p>
            <w:pPr>
              <w:spacing w:after="20"/>
              <w:ind w:left="20"/>
              <w:jc w:val="both"/>
            </w:pPr>
            <w:r>
              <w:rPr>
                <w:rFonts w:ascii="Times New Roman"/>
                <w:b w:val="false"/>
                <w:i w:val="false"/>
                <w:color w:val="000000"/>
                <w:sz w:val="20"/>
              </w:rPr>
              <w:t xml:space="preserve">
кофеин-бензоат </w:t>
            </w:r>
          </w:p>
          <w:p>
            <w:pPr>
              <w:spacing w:after="20"/>
              <w:ind w:left="20"/>
              <w:jc w:val="both"/>
            </w:pPr>
            <w:r>
              <w:rPr>
                <w:rFonts w:ascii="Times New Roman"/>
                <w:b w:val="false"/>
                <w:i w:val="false"/>
                <w:color w:val="000000"/>
                <w:sz w:val="20"/>
              </w:rPr>
              <w:t xml:space="preserve">
натрия или </w:t>
            </w:r>
          </w:p>
          <w:p>
            <w:pPr>
              <w:spacing w:after="20"/>
              <w:ind w:left="20"/>
              <w:jc w:val="both"/>
            </w:pPr>
            <w:r>
              <w:rPr>
                <w:rFonts w:ascii="Times New Roman"/>
                <w:b w:val="false"/>
                <w:i w:val="false"/>
                <w:color w:val="000000"/>
                <w:sz w:val="20"/>
              </w:rPr>
              <w:t xml:space="preserve">
ксантинола </w:t>
            </w:r>
          </w:p>
          <w:p>
            <w:pPr>
              <w:spacing w:after="20"/>
              <w:ind w:left="20"/>
              <w:jc w:val="both"/>
            </w:pPr>
            <w:r>
              <w:rPr>
                <w:rFonts w:ascii="Times New Roman"/>
                <w:b w:val="false"/>
                <w:i w:val="false"/>
                <w:color w:val="000000"/>
                <w:sz w:val="20"/>
              </w:rPr>
              <w:t xml:space="preserve">
никотинат, или </w:t>
            </w:r>
          </w:p>
          <w:p>
            <w:pPr>
              <w:spacing w:after="20"/>
              <w:ind w:left="20"/>
              <w:jc w:val="both"/>
            </w:pPr>
            <w:r>
              <w:rPr>
                <w:rFonts w:ascii="Times New Roman"/>
                <w:b w:val="false"/>
                <w:i w:val="false"/>
                <w:color w:val="000000"/>
                <w:sz w:val="20"/>
              </w:rPr>
              <w:t xml:space="preserve">
папаверин, или </w:t>
            </w:r>
          </w:p>
          <w:p>
            <w:pPr>
              <w:spacing w:after="20"/>
              <w:ind w:left="20"/>
              <w:jc w:val="both"/>
            </w:pPr>
            <w:r>
              <w:rPr>
                <w:rFonts w:ascii="Times New Roman"/>
                <w:b w:val="false"/>
                <w:i w:val="false"/>
                <w:color w:val="000000"/>
                <w:sz w:val="20"/>
              </w:rPr>
              <w:t xml:space="preserve">
пилокарпин, </w:t>
            </w:r>
          </w:p>
          <w:p>
            <w:pPr>
              <w:spacing w:after="20"/>
              <w:ind w:left="20"/>
              <w:jc w:val="both"/>
            </w:pPr>
            <w:r>
              <w:rPr>
                <w:rFonts w:ascii="Times New Roman"/>
                <w:b w:val="false"/>
                <w:i w:val="false"/>
                <w:color w:val="000000"/>
                <w:sz w:val="20"/>
              </w:rPr>
              <w:t xml:space="preserve">
или теобромин, </w:t>
            </w:r>
          </w:p>
          <w:p>
            <w:pPr>
              <w:spacing w:after="20"/>
              <w:ind w:left="20"/>
              <w:jc w:val="both"/>
            </w:pPr>
            <w:r>
              <w:rPr>
                <w:rFonts w:ascii="Times New Roman"/>
                <w:b w:val="false"/>
                <w:i w:val="false"/>
                <w:color w:val="000000"/>
                <w:sz w:val="20"/>
              </w:rPr>
              <w:t>
или теофиллин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мочевина, содержащая более 45 мас.% азота в пересчете на сухой безводный продукт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не более 28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более 28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35 мас.% пентаоксида дифосфора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К2О более 40 мас.%, но не более 62 мас.% в сухом безводном продукте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К2О более 62 мас.% в сухом безводном продукте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в упаковках, брутто-масса которых не превышает 10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краски и лаки (включая эмали и политуры)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фольга для тиснения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алкил[оксиди(бензолсульфоната)] динатрия 30 мас.% или более, но не более 50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алкилэтоксисульфатов 30 мас.% или более, но не более 60 мас.% и алкиламиноксидов 5 мас.% или более, но не более 15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кожевенно-обувной промышленности </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адгезивы на основе полимеров товарных позиций 3901 – 3913 или каучука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и смоляные кислоты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регуляторы роста растений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 для нанесения заводского трехслойного антикоррозионного покрытия на трубы большого диаметра5)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6б к данной группе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Совета Евразийской экономической комиссии от 05.12.2018 </w:t>
            </w:r>
            <w:r>
              <w:rPr>
                <w:rFonts w:ascii="Times New Roman"/>
                <w:b w:val="false"/>
                <w:i w:val="false"/>
                <w:color w:val="ff0000"/>
                <w:sz w:val="20"/>
              </w:rPr>
              <w:t>№ 97</w:t>
            </w:r>
            <w:r>
              <w:rPr>
                <w:rFonts w:ascii="Times New Roman"/>
                <w:b w:val="false"/>
                <w:i w:val="false"/>
                <w:color w:val="ff0000"/>
                <w:sz w:val="20"/>
              </w:rPr>
              <w:t xml:space="preserve"> (вступает в силу по истечении 10 календарных дней с даты его официального опубликования).</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w:t>
            </w:r>
          </w:p>
          <w:p>
            <w:pPr>
              <w:spacing w:after="20"/>
              <w:ind w:left="20"/>
              <w:jc w:val="both"/>
            </w:pPr>
            <w:r>
              <w:rPr>
                <w:rFonts w:ascii="Times New Roman"/>
                <w:b w:val="false"/>
                <w:i w:val="false"/>
                <w:color w:val="000000"/>
                <w:sz w:val="20"/>
              </w:rPr>
              <w:t>
дон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сополимер акриловой кислоты </w:t>
            </w:r>
          </w:p>
          <w:p>
            <w:pPr>
              <w:spacing w:after="20"/>
              <w:ind w:left="20"/>
              <w:jc w:val="both"/>
            </w:pPr>
            <w:r>
              <w:rPr>
                <w:rFonts w:ascii="Times New Roman"/>
                <w:b w:val="false"/>
                <w:i w:val="false"/>
                <w:color w:val="000000"/>
                <w:sz w:val="20"/>
              </w:rPr>
              <w:t xml:space="preserve">
2-этилгексилакрилата, содержащий 10 мас.% или более, но не более 11 мас.% </w:t>
            </w:r>
          </w:p>
          <w:p>
            <w:pPr>
              <w:spacing w:after="20"/>
              <w:ind w:left="20"/>
              <w:jc w:val="both"/>
            </w:pPr>
            <w:r>
              <w:rPr>
                <w:rFonts w:ascii="Times New Roman"/>
                <w:b w:val="false"/>
                <w:i w:val="false"/>
                <w:color w:val="000000"/>
                <w:sz w:val="20"/>
              </w:rPr>
              <w:t>
2-этилгексилакрилата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оптического волокна</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суперабсорбенты</w:t>
            </w:r>
          </w:p>
          <w:p>
            <w:pPr>
              <w:spacing w:after="20"/>
              <w:ind w:left="20"/>
              <w:jc w:val="both"/>
            </w:pPr>
            <w:r>
              <w:rPr>
                <w:rFonts w:ascii="Times New Roman"/>
                <w:b w:val="false"/>
                <w:i w:val="false"/>
                <w:color w:val="000000"/>
                <w:sz w:val="20"/>
              </w:rPr>
              <w:t>
для производства</w:t>
            </w:r>
          </w:p>
          <w:p>
            <w:pPr>
              <w:spacing w:after="20"/>
              <w:ind w:left="20"/>
              <w:jc w:val="both"/>
            </w:pPr>
            <w:r>
              <w:rPr>
                <w:rFonts w:ascii="Times New Roman"/>
                <w:b w:val="false"/>
                <w:i w:val="false"/>
                <w:color w:val="000000"/>
                <w:sz w:val="20"/>
              </w:rPr>
              <w:t>
подгузников</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обоев</w:t>
            </w:r>
            <w:r>
              <w:rPr>
                <w:rFonts w:ascii="Times New Roman"/>
                <w:b w:val="false"/>
                <w:i w:val="false"/>
                <w:color w:val="000000"/>
                <w:vertAlign w:val="superscript"/>
              </w:rPr>
              <w:t>5)</w:t>
            </w:r>
            <w:r>
              <w:rPr>
                <w:rFonts w:ascii="Times New Roman"/>
                <w:b w:val="false"/>
                <w:i w:val="false"/>
                <w:color w:val="000000"/>
                <w:vertAlign w:val="superscript"/>
              </w:rPr>
              <w:t xml:space="preserv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p>
            <w:pPr>
              <w:spacing w:after="20"/>
              <w:ind w:left="20"/>
              <w:jc w:val="both"/>
            </w:pPr>
            <w:r>
              <w:rPr>
                <w:rFonts w:ascii="Times New Roman"/>
                <w:b w:val="false"/>
                <w:i w:val="false"/>
                <w:color w:val="000000"/>
                <w:sz w:val="20"/>
              </w:rPr>
              <w:t>
пленка для производства конденсаторов электрических</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не более 16 дюймов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шины с цельнометаллическим кордом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шины с цельнометаллическим кордом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4013 90 000 0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 из березы или осины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5 см, но не более 15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г/мІ, но не более 450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5111 30 300 0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г/мІ, но не более 450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300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г/мІ, но не более 375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200 г/мІ, но не более 375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200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нити полиэфирные, обвитые хлопковыми волокнами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для розничной продажи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 шириной 140 см или более (тик для матрацев)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грубой керамики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6912 00 500 0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или тонкая керамика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гражданских воздушных судов5)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сапфиры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изумруды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александриты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сапфиры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изумруды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александриты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сапфиры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изумруды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александриты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полуобработанном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гранулах размером не более 5 мм и с содержанием марганца более 65 мас.%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55 мас.% кремния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4 мас.%, но не более 6 мас.% углерода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6 мас.% углерода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7206 90 000 0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белая жесть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рафинированный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40 МВт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40 МВт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1000 кВт, но не более 10 000 кВт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8429 11 002 0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400 л.с. и более, предназначенные для работы при температуре окружающего воздуха –50 оС и ниже2)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машины и механизмы для разработки грунта, предназначенные для установки на </w:t>
            </w:r>
          </w:p>
          <w:p>
            <w:pPr>
              <w:spacing w:after="20"/>
              <w:ind w:left="20"/>
              <w:jc w:val="both"/>
            </w:pPr>
            <w:r>
              <w:rPr>
                <w:rFonts w:ascii="Times New Roman"/>
                <w:b w:val="false"/>
                <w:i w:val="false"/>
                <w:color w:val="000000"/>
                <w:sz w:val="20"/>
              </w:rPr>
              <w:t>
4-гусеничных машинах с двумя ведущими тележками для работы в заболоченных или снежных районах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2,2 евро за 1 кг брутто-массы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 не более 680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1500 смі, но не более 1800 смі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1800 смі, но не более 2300 смі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2300 см³, но не более 2800 см³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см3, поименованные в дополнительном примечании Таможенного союза 6 к данной группе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3000 см³, но менее 3500 см³, поименованные в дополнительном примечании Евразийского экономического союза 6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автомобили, содержащие в качестве ходовых исключительно электродвигатели (один или несколько)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 и полной массой более 45 т, но не более 50 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 содержащие в качестве ходовых исключительно электродвигатели (один или несколько)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медицинского, хирургического или ветеринарного использования, прочая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 или устройством, позволяющим устанавливать механический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9108 20 000 0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автоматическим подзаводом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9108 90 000 0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9110 11 900 0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9110 19 000 0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механизмы часовые, предварительно грубо собранные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драгоценного металла или металла, плакированного драгоценным металлом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w:t>
            </w:r>
          </w:p>
          <w:p>
            <w:pPr>
              <w:spacing w:after="20"/>
              <w:ind w:left="20"/>
              <w:jc w:val="both"/>
            </w:pPr>
            <w:r>
              <w:rPr>
                <w:rFonts w:ascii="Times New Roman"/>
                <w:b w:val="false"/>
                <w:i w:val="false"/>
                <w:color w:val="000000"/>
                <w:sz w:val="20"/>
              </w:rPr>
              <w:t>
натуральной</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композиционной</w:t>
            </w:r>
          </w:p>
          <w:p>
            <w:pPr>
              <w:spacing w:after="20"/>
              <w:ind w:left="20"/>
              <w:jc w:val="both"/>
            </w:pPr>
            <w:r>
              <w:rPr>
                <w:rFonts w:ascii="Times New Roman"/>
                <w:b w:val="false"/>
                <w:i w:val="false"/>
                <w:color w:val="000000"/>
                <w:sz w:val="20"/>
              </w:rPr>
              <w:t>
кожи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пружины, включая волосковые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циферблаты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камни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теплицы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Ставки ввозных таможенных пошлин применяются с 1 января, в 2015 году – с даты вступления в силу Договора от 10 октября 2014 года о присоединении Республики Армения к Договору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 1 сентября 2017 г. по 31 августа 2022 г. включительно применяется ставка ввозной таможенной пошлины Единого таможенного тарифа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 1 января 2019 г. по 31 декабря 2019 г. включительно применяется ставка ввозной таможенной пошлины Единого таможенного тарифа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 даты вступления в силу Решения Коллегии Евразийской экономической комиссии от 24 апреля 2018 г. № 60 по 31 мая 2019 г. включительно применяется ставка ввозной таможенной пошлины Единого таможенного тарифа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С даты вступления в силу Решения Совета Евразийской экономической комиссии от 22 октября 2018 г. № 69 применяется ставка ввозной таможенной пошлины Единого таможенного тарифа Евразийского экономического союза.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