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075c" w14:textId="ccf0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железнодорожных вагонов и в отношении некоторых видов сепараторов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января 2015 года № 2.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Евразийского экономического союза позиции согласно приложению № 1;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Евразийского экономического союза позиции согласно приложению № 2;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Евразийского экономического союза согласно приложению № 3.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г. № 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 внешнеэкономической деятельности Евразийского экономического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ООО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движения в составе железнодорожных дизель-поездов с максимальной эксплуатационной скоростью не менее 140 км/ч, но не более 200 км/ч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имеющие межвагонных переходных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тамбуров и предназначенные для движения с максимальной эксплуатационной скоростью не менее 140 км/ч, но не более 200 км/ч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г. № 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 деятельности 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+8605 00 000 8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- -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г. № 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8421 39 800 2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сепараторы для очистки нефтяных газов,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сепараторы для очистки как нефтяных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газов, так и нефти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+8605 00 000 8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- -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