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0fe7" w14:textId="7d40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о методологии формирования индикативных (прогнозных) балансов газа, нефти и нефтепродуктов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31 марта 2015 года № 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статей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о методологии формирования индикативных (прогнозных) балансов газа, нефти и нефтепродуктов в рамках Евразийского экономического союза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государства – члены Евразийского экономического союза провести до 1 мая 2015 г. внутригосударственное согласование проекта Соглашения,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и проинформировать Евразийскую экономическую комиссию о его результатах.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календарных дней с даты его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 В. Христенко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Проект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
о методологии формирования индикативных (прогнозных) балансов газа, нефти и нефтепродуктов в рамках 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энергетики и природных ресурсов Республики Армения, Министерство экономики Республики Беларусь, Министерство энергетики Республики Казахстан и Министерство энергетики Российской Федерации,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эффективного использования совокупного энергетического потенциала государств – членов Евразийского экономического союза (далее – государства-члены), оптимизации межгосударственных поставок энергетических ресурсов и обеспечения разработки индикативных (прогнозных) балансов газа, нефти и нефтепродуктов Евразийского экономического союза (далее – Союз)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используются понятия, которые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«индикативный (прогнозный) баланс государства-члена» – баланс, разрабатываемый уполномоченным органом в отношении различных видов энергоресурсов на территории государства-члена для целей формирования индикативного (прогнозного) баланса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«индикативный (прогнозный) баланс Союза» – баланс, формируемый на основе индикативных (прогнозных) балансов государств-членов в отношении различных видов энергоресурсов на территории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«уполномоченный орган» – орган исполнительной власти государства-члена, уполномоченный в соответствии с законодательством государства-члена осуществлять разработку индикативных (прогнозных) балансов газа, нефти и нефтепродуктов государства-члена.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статей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уполномоченные органы разрабатывают и согласовывают индикативный (прогнозный) баланс газа Союза, индикативный (прогнозный) баланс нефти Союза и индикативные (прогнозные) балансы нефтепродуктов Союза в соответствии с методологией формирования индикативных (прогнозных) балансов газа, нефти и нефтепродуктов в рамках Евразийского экономического союза согласно приложению к настоящему Соглашению.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Разработка индикативных (прогнозных) балансов газа, нефти и нефтепродуктов государств-членов для целей формирования индикативных (прогнозных) балансов газа, нефти и нефтепродуктов Союза осуществляется уполномоченными органами ежегодно.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Разработка индикативных (прогнозных) балансов газа, нефти и нефтепродуктов государств-членов осуществляется уполномоченными органами в соответствии с законодательством государств-членов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исполнения показателей индикативных (прогнозных) балансов газа, нефти и нефтепродуктов Союза за предшествующий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международных обязательств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общеэкономических и отраслевых прогнозов и программ развития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прогнозов и инвестиционных программ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топливно-энергетического комплекса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Индикативные (прогнозные) балансы газа, нефти и нефтепродуктов государств-членов представляются уполномоченными органами в Евразийскую экономическую комиссию (далее – Комиссия) ежегодно, до 15 сентября.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Уполномоченные органы обеспечивают полноту и достоверность отчетных данных, представленных в индикативных (прогнозных) балансах газа, нефти и нефтепродуктов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Представление индикативных (прогнозных) балансов топлива для реактивных двигателей государства-члена осуществляется в соответствии с законодательством государства-члена с соблюдением требований по передаче сведений, составляющих государственную тайну (государственные секреты), другим государствам или международным организациям.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на основе представленных уполномоченными органами индикативных (прогнозных) балансов газа, нефти и нефтепродуктов государств-членов формирует проекты индикативных (прогнозных) балансов газа, нефти и нефтепродуктов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необходимости уточнения представленных уполномоченными органами показателей, включенных в индикативные (прогнозные) балансы газа, нефти и нефтепродуктов государств-членов, и в целях согласования проектов индикативных (прогнозных) балансов газа, нефти и нефтепродуктов Союза Комиссия проводит консультации с уполномоченными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ежегодно, до 25 сентября, направляет проекты индикативных (прогнозных) балансов газа, нефти и нефтепродуктов Союза на согласование уполномоченным органам.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Уполномоченные органы ежегодно, до 1 октября, информируют Комиссию о результатах согласования проектов индикативных (прогнозных) балансов газа, нефти и нефтепродуктов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Согласованные уполномоченными органами индикативные (прогнозные) балансы газа, нефти и нефтепродуктов Союза вносятся на рассмотрение Совета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Комиссия ежегодно проводит анализ исполнения показателей индикативных (прогнозных) балансов газа, нефти и нефтепродуктов Союза.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Корректировка индикативных (прогнозных) балансов газа, нефти и нефтепродуктов Союза может осуществляться: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показателей балансов на текущий год – 1 раз в декабре текущего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показателей балансов на предстоящие 3 года – не чаще 1 раза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необходимости проведения корректировки индикативных (прогнозных) балансов газа, нефти и нефтепродуктов Союза уполномоченные органы направляют в Комиссию скорректированные индикативные (прогнозные) балансы газа, нефти и нефтепродуктов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в 2-недельный срок формирует проекты скорректированных индикативных (прогнозных) балансов газа, нефти и нефтепродуктов Союза и направляет их на согласование уполномоченным органам.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Уполномоченные органы в 2-недельный срок информируют Комиссию о результатах согласования проектов скорректированных индикативных (прогнозных) балансов газа, нефти и нефтепродуктов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Согласованные уполномоченными органами скорректированные индикативные (прогнозные) балансы газа, нефти и нефтепродуктов Союза вносятся на рассмотрение Совета Комиссии. 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является международным договором, заключенным в рамках Союза, и входит в право Союза.</w:t>
      </w:r>
    </w:p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взаимной договоренности Сторон в настоящее Соглашение могут быть внесены изменения, которые оформляются отдельными протоколами.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обязательств государств-членов, вытекающих из других международных договоров, участниками которых они являются.</w:t>
      </w:r>
    </w:p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Споры, связанные с толкованием и (или) применением настоящего Соглашения, разрешаются в порядке, определенном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статьей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года.</w:t>
      </w:r>
    </w:p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по истечении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календарных дней с даты получения депозитарием последнего письменного уведомления о выполнении государствами Сторон внутригосударственных процедур, необходимых для вступления в силу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« » 20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государству каждой Стороны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Министерство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Армения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Министерство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Министерство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Министерство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Российской Федерации</w:t>
      </w:r>
    </w:p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 методологии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формирования индикативных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(прогнозных) балансов газа, нефти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нефтепродуктов в рамках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Евразийского экономического союза   </w:t>
      </w:r>
    </w:p>
    <w:bookmarkEnd w:id="14"/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МЕТОДОЛОГИЯ</w:t>
      </w:r>
      <w:r>
        <w:br/>
      </w:r>
      <w:r>
        <w:rPr>
          <w:rFonts w:ascii="Times New Roman"/>
          <w:b/>
          <w:i w:val="false"/>
          <w:color w:val="000000"/>
        </w:rPr>
        <w:t xml:space="preserve">
формирования индикативных (прогнозных) балансов </w:t>
      </w:r>
      <w:r>
        <w:br/>
      </w:r>
      <w:r>
        <w:rPr>
          <w:rFonts w:ascii="Times New Roman"/>
          <w:b/>
          <w:i w:val="false"/>
          <w:color w:val="000000"/>
        </w:rPr>
        <w:t xml:space="preserve">
газа, нефти и нефтепродуктов в рамках 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</w:t>
      </w:r>
    </w:p>
    <w:bookmarkEnd w:id="15"/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Методология определяет основные подходы к формированию индикативных (прогнозных) балансов газа, нефти и нефтепродуктов Евразийского экономического союза (далее – Союз).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Индикативные (прогнозные) балансы газа, нефти и нефтепродуктов Союза образуют единую систему показателей, используемую в рамках Союза и в государствах – членах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государства-члены).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Индикативные (прогнозные) балансы газа, нефти и нефтепродуктов Союза формируются на 5-летний период и включают в себя отчетные показатели за предшествующий год, ожидаемые показатели за текущий год и прогнозные показатели на 3 последующих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Формирование индикативных (прогнозных) балансов газа, нефти и нефтепродуктов Союза осуществляется на основе принципа приоритетного обеспечения внутренних потребностей государств-членов.</w:t>
      </w:r>
    </w:p>
    <w:bookmarkEnd w:id="17"/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Определения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Понятия, используемые в настоящей Методологии,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«баланс энергоресурса» – система показателей, характеризующих производство, потребление, изменение запасов, импорт и экспорт энергоресурса на территориях государств-членов или таможенной территории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«бензин автомобильный» – бензины автомобильные всех марок;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«газ» – природный газ и попутный нефтяной газ, а также газ, полученный в результате стабилизации и деэтанизации конденсата газового;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«импорт энергоресурса»: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балансе энергоресурса государства-члена – величина, характеризующая количество энергоресурса, ввозимого на территорию государства-члена, в результате чего увеличивается количество энергоресурса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балансе энергоресурса Союза – величина, характеризующая количество энергоресурса, ввозимого на территории государств-членов, в результате чего увеличивается количество энергоресурса на таможенной территории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«мазут топочный» – топочные мазуты всех марок;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«нефтеперерабатывающие заводы» – нефтеперерабатывающие заводы, а также другие предприятия, на которых осуществляется деятельность по производству дистиллированных нефтепродуктов (в соответствии с законодательством Республики Армения), или по производству нефтепродуктов (в соответствии с законодательством Республики Беларусь и Российской Федерации), или по производству продуктов нефтепереработки (в соответствии с законодательством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«нефтяное сырье» – нефть сырая и конденсат газовый;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«топливо дизельное» – дизельное топливо всех марок (летнее, зимнее, арктическое и прочее);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«топливо для реактивных двигателей» – жидкое топливо для использования в реактивных авиационных двигателях;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«экспорт энергоресурса»: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балансе энергоресурса государства-члена – величина, характеризующая количество энергоресурса, вывозимого с территории государства-члена, в результате чего уменьшается количество энергоресурса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балансе энергоресурса Союза – величина, характеризующая количество энергоресурса, вывозимого с территорий государств-членов, в результате чего уменьшается количество энергоресурса на таможенной территории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«энергоресурс» – топливно-энергетический ресурс, используемый в качестве источника энергии (нефтяное сырье, газ), а также продукт переработки нефти (бензин автомобильный, топливо дизельное, мазут топочный, топливо для реактивных двигателей). </w:t>
      </w:r>
    </w:p>
    <w:bookmarkEnd w:id="19"/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Структура баланса энергоресурса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Баланс энергоресурса состоит из 2 балансирующихся блоков: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блок «Приходная часть – ресурсы» характеризует структуру производства (добычи) и поставок энергоресурса в государство-член и содержит следующие статьи (показатели):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«Производство (добыча)»;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«Прочие поступления»;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«Импорт»;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блок «Расходная часть – распределение» характеризует структуру распределения энергоресурса в государстве-члене и содержит следующие статьи (показатели):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«Экспорт»;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«Поставка на внутренний рынок».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Особенности формирования отдельных статей (показателей) балансов для каждого вида энергоресурса определены в разделе IV настоящей Методологии.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Значения показателей энергоресурса приводятся в натуральных единицах измерения: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газа – в миллиардах кубических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нефтяного сырья – в миллионах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бензина автомобильного, топлива дизельного, мазута топочного и топлива для реактивных двигателей – в тысячах тонн.</w:t>
      </w:r>
    </w:p>
    <w:bookmarkEnd w:id="21"/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Особенности формирования отдельных статей балансов энергоресурсов</w:t>
      </w:r>
    </w:p>
    <w:bookmarkEnd w:id="22"/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Баланс газа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Индикативный (прогнозный) баланс газа государства-члена разрабатывается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Индикативный (прогнозный) баланс газа Союза формируется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статье «Добыча газа, включая нефтяной попутный» указывается суммарный объем добычи из недр природного и попутного нефтяного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попутного нефтяного газа, сожженного в факелах, в статью «Добыча газа, включая нефтяной попутный» не включается.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газа, закачанного обратно в пласт, в статью «Добыча газа, включая нефтяной попутный» не включается.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статье «Прочие поступления» учитываются газ стабилизации и деэтанизации конденсата газового, а также изменение запасов газа в подземных хранилищах газа и в газопроводных сетях.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статье «Импорт» выделяются субстатьи для отображения объемов импорта (поставок) газа трубопроводным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статье «Экспорт» выделяются субстатьи для отображения объемов экспорта (поставок) газа трубопроводным транспортом и в виде сжиженного природного газа.</w:t>
      </w:r>
    </w:p>
    <w:bookmarkEnd w:id="24"/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Баланс нефтяного сырья</w:t>
      </w:r>
    </w:p>
    <w:bookmarkEnd w:id="25"/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Индикативный (прогнозный) баланс нефтяного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сырья государства-члена разрабатывается по форме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Индикативный (прогнозный) баланс нефтяного сырья Союза формируется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статье «Добыча нефти, включая газовый конденсат» указывается объем добычи из недр нефтяного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статье «Прочие поступления» учитывается объем производства рекуперированного нефтяного сырья, а также изменение остатков нефтяного сырья в системе магистрального нефтепроводного транспорта, в резервуарах нефтеперерабатывающих заводов и недропользователей.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статье «Импорт» выделяются субстатьи для отображения объемов импорта (поставок) нефтяного сырья трубопроводным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статье «Экспорт» выделяются субстатьи для отображения объемов экспорта (поставок) нефтяного сырья трубопроводным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Потери при добыче и стабилизации нефтяного сырья в статьи баланса не включаются.</w:t>
      </w:r>
    </w:p>
    <w:bookmarkEnd w:id="26"/>
    <w:bookmarkStart w:name="z6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Баланс бензина автомобильного</w:t>
      </w:r>
    </w:p>
    <w:bookmarkEnd w:id="27"/>
    <w:bookmarkStart w:name="z6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Индикативный (прогнозный) баланс бензина автомобильного государства-члена разрабатывается по форме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приложению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Индикативный (прогнозный) баланс бензина автомобильного Союза формируется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статье «Производство» указывается объем производства бензина автомобильного на нефтеперерабатывающих заводах.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 статье «Прочие поступления» учитываются изменения запасов бензина автомобильного в системе магистрального нефтепродуктопроводного транспорта, в резервуарах нефтеперерабатывающих заводов и предприятий нефтепродуктообеспечения.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статье «Импорт» субстатьи для отображения объемов импорта (поставок) бензина автомобильного трубопроводным транспортом не выделяются.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статье «Экспорт» субстатьи для отображения объемов экспорта (поставок) бензина автомобильного трубопроводным транспортом не выделяются.</w:t>
      </w:r>
    </w:p>
    <w:bookmarkEnd w:id="28"/>
    <w:bookmarkStart w:name="z6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Баланс топлива дизельного</w:t>
      </w:r>
    </w:p>
    <w:bookmarkEnd w:id="29"/>
    <w:bookmarkStart w:name="z6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Индикативный (прогнозный) баланс топлива дизельного государства-члена разрабатывается по форме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приложению 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Индикативный (прогнозный) баланс топлива дизельного Союза формируется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статье «Производство» указывается объем производства топлива дизельного на нефтеперерабатывающих заводах.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В статье «Прочие поступления» учитываются изменения запасов топлива дизельного в системе магистрального нефтепродуктопроводного транспорта, в резервуарах нефтеперерабатывающих заводов и предприятий нефтепродуктообеспечения.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статье «Импорт» субстатьи для отображения объемов импорта (поставок) топлива дизельного трубопроводным транспортом не выделяются.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 статье «Экспорт» субстатьи для отображения объемов экспорта (поставок) топлива дизельного трубопроводным транспортом не выделяются.</w:t>
      </w:r>
    </w:p>
    <w:bookmarkEnd w:id="30"/>
    <w:bookmarkStart w:name="z7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Баланс мазута топочного</w:t>
      </w:r>
    </w:p>
    <w:bookmarkEnd w:id="31"/>
    <w:bookmarkStart w:name="z7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Индикативный (прогнозный) баланс мазута топочного государства-члена разрабатывается по форме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приложению 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Индикативный (прогнозный) баланс мазута топочного Союза формируется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 статье «Производство» указывается объем товарного производства мазута топочного на нефтеперерабатывающих заводах. Расход на технологические нужды нефтеперерабатывающих заводов в баланс мазута топочного не включается.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В статье «Прочие поступления» учитываются изменения запасов мазута топочного в резервуарах нефтеперерабатывающих заводов и предприятий нефтепродуктообеспечения.</w:t>
      </w:r>
    </w:p>
    <w:bookmarkEnd w:id="32"/>
    <w:bookmarkStart w:name="z7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Баланс топлива для реактивных двигателей</w:t>
      </w:r>
    </w:p>
    <w:bookmarkEnd w:id="33"/>
    <w:bookmarkStart w:name="z8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Индикативный (прогнозный) баланс топлива для реактивных двигателей государства-члена разрабатывается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Индикативный (прогнозный) баланс топлива для реактивных двигателей Союза формируется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В статье «Производство» указывается объем производства топлива для реактивных двигателей на нефтеперерабатывающих заводах.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В статье «Прочие поступления» учитываются изменения запасов топлива для реактивных двигателей в системе магистрального нефтепродуктопроводного транспорта, в резервуарах нефтеперерабатывающих заводов и предприятий нефтепродуктообеспечения.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В статье «Импорт» субстатьи для отображения объемов импорта (поставок) топлива для реактивных двигателей трубопроводным транспортом не выделяются.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В статье «Экспорт» субстатьи для отображения объемов экспорта (поставок) топлива для реактивных двигателей трубопроводным транспортом не выделяются.</w:t>
      </w:r>
    </w:p>
    <w:bookmarkEnd w:id="34"/>
    <w:bookmarkStart w:name="z8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Методологии формирования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индикативных (прогнозных)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балансов газа, нефти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нефтепродуктов в рамках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Евразийского экономического союза  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Индикативный (прогнозный) баланс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государства – члена Евразийского экономического союза)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20___ - 20___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(млрд. куб. 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0"/>
        <w:gridCol w:w="2189"/>
        <w:gridCol w:w="2213"/>
        <w:gridCol w:w="1020"/>
        <w:gridCol w:w="1021"/>
        <w:gridCol w:w="997"/>
      </w:tblGrid>
      <w:tr>
        <w:trPr>
          <w:trHeight w:val="270" w:hRule="atLeast"/>
        </w:trPr>
        <w:tc>
          <w:tcPr>
            <w:tcW w:w="6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статьи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(субстатьи) баланса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показатель за 20__ год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показатель в 20__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Прогнозный показатель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44"/>
        <w:gridCol w:w="7656"/>
      </w:tblGrid>
      <w:tr>
        <w:trPr>
          <w:trHeight w:val="270" w:hRule="atLeast"/>
        </w:trPr>
        <w:tc>
          <w:tcPr>
            <w:tcW w:w="6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Приходная часть – ресурсы</w:t>
            </w:r>
          </w:p>
        </w:tc>
        <w:tc>
          <w:tcPr>
            <w:tcW w:w="7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газа, включая нефтяной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попутный</w:t>
            </w:r>
          </w:p>
        </w:tc>
        <w:tc>
          <w:tcPr>
            <w:tcW w:w="7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поступления</w:t>
            </w:r>
          </w:p>
        </w:tc>
        <w:tc>
          <w:tcPr>
            <w:tcW w:w="7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</w:t>
            </w:r>
          </w:p>
        </w:tc>
        <w:tc>
          <w:tcPr>
            <w:tcW w:w="7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государств-членов* </w:t>
            </w:r>
          </w:p>
        </w:tc>
        <w:tc>
          <w:tcPr>
            <w:tcW w:w="7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</w:p>
        </w:tc>
        <w:tc>
          <w:tcPr>
            <w:tcW w:w="7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</w:p>
        </w:tc>
        <w:tc>
          <w:tcPr>
            <w:tcW w:w="7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</w:p>
        </w:tc>
        <w:tc>
          <w:tcPr>
            <w:tcW w:w="7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третьих государств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</w:p>
        </w:tc>
        <w:tc>
          <w:tcPr>
            <w:tcW w:w="7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Расходная часть – распределение</w:t>
            </w:r>
          </w:p>
        </w:tc>
        <w:tc>
          <w:tcPr>
            <w:tcW w:w="7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</w:p>
        </w:tc>
        <w:tc>
          <w:tcPr>
            <w:tcW w:w="7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государства-члены* </w:t>
            </w:r>
          </w:p>
        </w:tc>
        <w:tc>
          <w:tcPr>
            <w:tcW w:w="7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</w:p>
        </w:tc>
        <w:tc>
          <w:tcPr>
            <w:tcW w:w="7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</w:p>
        </w:tc>
        <w:tc>
          <w:tcPr>
            <w:tcW w:w="7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</w:p>
        </w:tc>
        <w:tc>
          <w:tcPr>
            <w:tcW w:w="7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третьи государства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сжиженного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газа</w:t>
            </w:r>
          </w:p>
        </w:tc>
        <w:tc>
          <w:tcPr>
            <w:tcW w:w="7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Поставка на внутренний рынок</w:t>
            </w:r>
          </w:p>
        </w:tc>
        <w:tc>
          <w:tcPr>
            <w:tcW w:w="7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Не указывается государство – член Евразийского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союза, которое представляет настоящий баланс.</w:t>
      </w:r>
    </w:p>
    <w:bookmarkStart w:name="z8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Методологии формирования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индикативных (прогнозных)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балансов газа, нефти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нефтепродуктов в рамках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Евразийского экономического союза   </w:t>
      </w:r>
    </w:p>
    <w:bookmarkEnd w:id="36"/>
    <w:bookmarkStart w:name="z8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Индикативный (прогнозный) баланс газа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Евразийского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20___ - 20___ годы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(млрд. куб. 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5"/>
        <w:gridCol w:w="2181"/>
        <w:gridCol w:w="2206"/>
        <w:gridCol w:w="993"/>
        <w:gridCol w:w="1041"/>
        <w:gridCol w:w="994"/>
      </w:tblGrid>
      <w:tr>
        <w:trPr>
          <w:trHeight w:val="270" w:hRule="atLeast"/>
        </w:trPr>
        <w:tc>
          <w:tcPr>
            <w:tcW w:w="6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статьи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(субстатьи) баланса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показатель за 20__ год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показатель в 20__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Прогнозный показатель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70"/>
        <w:gridCol w:w="7630"/>
      </w:tblGrid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Приходная часть – ресурсы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газа, включая нефтяной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Российской Федерации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Российской Федерации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третьих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Расходная часть – распределение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государства-члены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третьи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сжиженного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сжиженного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сжиженного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виде сжиженного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газа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Поставка на внутренний 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Российской Федерации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Методологии формирования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индикативных (прогнозных)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балансов газа, нефти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нефтепродуктов в рамках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Евразийского экономического союза    </w:t>
      </w:r>
    </w:p>
    <w:bookmarkEnd w:id="38"/>
    <w:bookmarkStart w:name="z10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
</w:t>
      </w:r>
      <w:r>
        <w:rPr>
          <w:rFonts w:ascii="Times New Roman"/>
          <w:b/>
          <w:i w:val="false"/>
          <w:color w:val="000000"/>
          <w:sz w:val="28"/>
        </w:rPr>
        <w:t xml:space="preserve"> Индикативный (прогнозный) баланс нефтяного сырья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государства – члена Евразийского экономического союза)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на 20___ - 20___ годы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(млн. тонн)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5"/>
        <w:gridCol w:w="2181"/>
        <w:gridCol w:w="2206"/>
        <w:gridCol w:w="993"/>
        <w:gridCol w:w="1041"/>
        <w:gridCol w:w="994"/>
      </w:tblGrid>
      <w:tr>
        <w:trPr>
          <w:trHeight w:val="270" w:hRule="atLeast"/>
        </w:trPr>
        <w:tc>
          <w:tcPr>
            <w:tcW w:w="6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статьи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(субстатьи) баланса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показатель за 20__ год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показатель в 20__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Прогнозный показатель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70"/>
        <w:gridCol w:w="7630"/>
      </w:tblGrid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Приходная часть – ресурсы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нефти, включая газовый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поступления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государств-членов* 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третьих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Расходная часть – распределение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государства-члены*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третьи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Поставка на внутренний рынок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Не указывается государство – член Евразийского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союза, которое представляет настоящий баланс.</w:t>
      </w:r>
    </w:p>
    <w:bookmarkStart w:name="z9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Методологии формирования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индикативных (прогнозных)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балансов газа, нефти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нефтепродуктов в рамках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Евразийского экономического союза   </w:t>
      </w:r>
    </w:p>
    <w:bookmarkEnd w:id="40"/>
    <w:bookmarkStart w:name="z10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
</w:t>
      </w:r>
      <w:r>
        <w:rPr>
          <w:rFonts w:ascii="Times New Roman"/>
          <w:b/>
          <w:i w:val="false"/>
          <w:color w:val="000000"/>
          <w:sz w:val="28"/>
        </w:rPr>
        <w:t xml:space="preserve"> Индикативный (прогнозный) баланс нефтяного сырья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Евразийского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20___ - 20___ годы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(млн. тонн)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5"/>
        <w:gridCol w:w="2181"/>
        <w:gridCol w:w="2206"/>
        <w:gridCol w:w="993"/>
        <w:gridCol w:w="1041"/>
        <w:gridCol w:w="994"/>
      </w:tblGrid>
      <w:tr>
        <w:trPr>
          <w:trHeight w:val="270" w:hRule="atLeast"/>
        </w:trPr>
        <w:tc>
          <w:tcPr>
            <w:tcW w:w="6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статьи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(субстатьи) баланса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показатель за 20__ год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показатель в 20__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Прогнозный показатель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70"/>
        <w:gridCol w:w="7630"/>
      </w:tblGrid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Приходная часть – ресурсы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нефти, включая газовый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Российской Федерации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Российской Федерации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третьих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Расходная часть – распределение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государства-члены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третьи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Поставка на внутренний 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Российской Федерации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Методологии формирования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индикативных (прогнозных)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балансов газа, нефти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нефтепродуктов в рамках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Евразийского экономического союза   </w:t>
      </w:r>
    </w:p>
    <w:bookmarkEnd w:id="42"/>
    <w:bookmarkStart w:name="z10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Индикативный (прогнозный) баланс бензина автомобильного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государства – члена Евразийского экономического союза)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20___ - 20___ годы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(тыс. тонн)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5"/>
        <w:gridCol w:w="2181"/>
        <w:gridCol w:w="2206"/>
        <w:gridCol w:w="993"/>
        <w:gridCol w:w="1041"/>
        <w:gridCol w:w="994"/>
      </w:tblGrid>
      <w:tr>
        <w:trPr>
          <w:trHeight w:val="270" w:hRule="atLeast"/>
        </w:trPr>
        <w:tc>
          <w:tcPr>
            <w:tcW w:w="6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статьи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(субстатьи) баланса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показатель за 20__ год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показатель в 20__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Прогнозный показатель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70"/>
        <w:gridCol w:w="7630"/>
      </w:tblGrid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Приходная часть – ресурсы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поступления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государств-членов* 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третьих государств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Расходная часть – распределение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государства-члены* 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третьи государства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Поставка на внутренний рынок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Не указывается государство – член Евразийского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союза, которое представляет настоящий баланс.</w:t>
      </w:r>
    </w:p>
    <w:bookmarkStart w:name="z9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Методологии формирования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индикативных (прогнозных)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балансов газа, нефти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нефтепродуктов в рамках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Евразийского экономического союза   </w:t>
      </w:r>
    </w:p>
    <w:bookmarkEnd w:id="44"/>
    <w:bookmarkStart w:name="z9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Индикативный (прогнозный) баланс бензина автомобильного                   Евразийского экономического союза/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20___ - 20___ годы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(тыс. тонн)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5"/>
        <w:gridCol w:w="2181"/>
        <w:gridCol w:w="2206"/>
        <w:gridCol w:w="993"/>
        <w:gridCol w:w="1041"/>
        <w:gridCol w:w="994"/>
      </w:tblGrid>
      <w:tr>
        <w:trPr>
          <w:trHeight w:val="270" w:hRule="atLeast"/>
        </w:trPr>
        <w:tc>
          <w:tcPr>
            <w:tcW w:w="6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статьи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(субстатьи) баланса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показатель за 20__ год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показатель в 20__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Прогнозный показатель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70"/>
        <w:gridCol w:w="7630"/>
      </w:tblGrid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Приходная часть – ресурсы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Российской Федерации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Российской Федерации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третьих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Расходная часть – распределение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государства-члены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третьи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Поставка на внутренний 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Российской Федерации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Методологии формирования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индикативных (прогнозных)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балансов газа, нефти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нефтепродуктов в рамках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Евразийского экономического союза   </w:t>
      </w:r>
    </w:p>
    <w:bookmarkEnd w:id="46"/>
    <w:bookmarkStart w:name="z9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Индикативный (прогнозный) баланс топлива дизельного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государства – члена Евразийского экономического союза)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20___ - 20___ годы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(тыс. тонн)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5"/>
        <w:gridCol w:w="2181"/>
        <w:gridCol w:w="2206"/>
        <w:gridCol w:w="993"/>
        <w:gridCol w:w="1041"/>
        <w:gridCol w:w="994"/>
      </w:tblGrid>
      <w:tr>
        <w:trPr>
          <w:trHeight w:val="270" w:hRule="atLeast"/>
        </w:trPr>
        <w:tc>
          <w:tcPr>
            <w:tcW w:w="6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статьи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(субстатьи) баланса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показатель за 20__ год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показатель в 20__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Прогнозный показатель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70"/>
        <w:gridCol w:w="7630"/>
      </w:tblGrid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Приходная часть – ресурсы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поступления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государств-членов* 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третьих государств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Расходная часть – распределение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государства-члены*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третьи государства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Поставка на внутренний рынок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Не указывается государство – член Евразийского экономического союза, которое представляет настоящий баланс.</w:t>
      </w:r>
    </w:p>
    <w:bookmarkStart w:name="z9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Методологии формирования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индикативных (прогнозных)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балансов газа, нефти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нефтепродуктов в рамках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Евразийского экономического союза   </w:t>
      </w:r>
    </w:p>
    <w:bookmarkEnd w:id="48"/>
    <w:bookmarkStart w:name="z9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Индикативный (прогнозный) баланс топлива дизельного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Евразийского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на 20___ - 20___ годы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(тыс. тонн)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5"/>
        <w:gridCol w:w="2181"/>
        <w:gridCol w:w="2206"/>
        <w:gridCol w:w="993"/>
        <w:gridCol w:w="1041"/>
        <w:gridCol w:w="994"/>
      </w:tblGrid>
      <w:tr>
        <w:trPr>
          <w:trHeight w:val="270" w:hRule="atLeast"/>
        </w:trPr>
        <w:tc>
          <w:tcPr>
            <w:tcW w:w="6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статьи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(субстатьи) баланса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показатель за 20__ год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показатель в 20__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Прогнозный показатель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70"/>
        <w:gridCol w:w="7630"/>
      </w:tblGrid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Приходная часть – ресурсы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Российской Федерации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Российской Федерации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третьих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Расходная часть – распределение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государства-члены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третьи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Поставка на внутренний 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Российской Федерации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Методологии формирования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индикативных (прогнозных)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балансов газа, нефти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нефтепродуктов в рамках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Евразийского экономического союза   </w:t>
      </w:r>
    </w:p>
    <w:bookmarkEnd w:id="50"/>
    <w:bookmarkStart w:name="z9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Индикативный (прогнозный) баланс мазута топочного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(наименование государства – члена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экономического союза) </w:t>
      </w:r>
      <w:r>
        <w:rPr>
          <w:rFonts w:ascii="Times New Roman"/>
          <w:b/>
          <w:i w:val="false"/>
          <w:color w:val="000000"/>
          <w:sz w:val="28"/>
        </w:rPr>
        <w:t>на 20___ - 20___ годы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(тыс. тонн)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5"/>
        <w:gridCol w:w="2181"/>
        <w:gridCol w:w="2206"/>
        <w:gridCol w:w="993"/>
        <w:gridCol w:w="1041"/>
        <w:gridCol w:w="994"/>
      </w:tblGrid>
      <w:tr>
        <w:trPr>
          <w:trHeight w:val="270" w:hRule="atLeast"/>
        </w:trPr>
        <w:tc>
          <w:tcPr>
            <w:tcW w:w="6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статьи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(субстатьи) баланса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показатель за 20__ год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показатель в 20__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Прогнозный показатель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70"/>
        <w:gridCol w:w="7630"/>
      </w:tblGrid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Приходная часть – ресурсы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поступления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государств-членов* 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третьих государств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Расходная часть – распределение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государства-члены* 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третьи государства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Поставка на внутренний рынок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Не указывается государство – член Евразийского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союза, которое представляет настоящий баланс.</w:t>
      </w:r>
    </w:p>
    <w:bookmarkStart w:name="z10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10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Методологии формирования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индикативных (прогнозных)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балансов газа, нефти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нефтепродуктов в рамках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Евразийского экономического союза   </w:t>
      </w:r>
    </w:p>
    <w:bookmarkEnd w:id="52"/>
    <w:bookmarkStart w:name="z10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Индикативный (прогнозный) баланс мазута топочного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Евразийского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20___ - 20___ годы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тонн)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5"/>
        <w:gridCol w:w="2181"/>
        <w:gridCol w:w="2206"/>
        <w:gridCol w:w="993"/>
        <w:gridCol w:w="1041"/>
        <w:gridCol w:w="994"/>
      </w:tblGrid>
      <w:tr>
        <w:trPr>
          <w:trHeight w:val="270" w:hRule="atLeast"/>
        </w:trPr>
        <w:tc>
          <w:tcPr>
            <w:tcW w:w="6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статьи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(субстатьи) баланса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показатель за 20__ год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показатель в 20__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Прогнозный показатель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70"/>
        <w:gridCol w:w="7630"/>
      </w:tblGrid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Приходная часть – ресурсы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Российской Федерации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Российской Федерации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третьих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Расходная часть – распределение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государства-члены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третьи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Поставка на внутренний 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Российской Федерации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Методологии формирования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индикативных (прогнозных)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балансов газа, нефти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нефтепродуктов в рамках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Евразийского экономического союза   </w:t>
      </w:r>
    </w:p>
    <w:bookmarkEnd w:id="54"/>
    <w:bookmarkStart w:name="z10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Индикативный (прогнозный) баланс топлива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для реактивных двигателей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государства – члена Евразийского экономического союза)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20___ - 20___ годы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(тыс. тонн)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5"/>
        <w:gridCol w:w="2181"/>
        <w:gridCol w:w="2206"/>
        <w:gridCol w:w="993"/>
        <w:gridCol w:w="1041"/>
        <w:gridCol w:w="994"/>
      </w:tblGrid>
      <w:tr>
        <w:trPr>
          <w:trHeight w:val="270" w:hRule="atLeast"/>
        </w:trPr>
        <w:tc>
          <w:tcPr>
            <w:tcW w:w="6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статьи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(субстатьи) баланса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показатель за 20__ год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показатель в 20__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Прогнозный показатель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70"/>
        <w:gridCol w:w="7630"/>
      </w:tblGrid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Приходная часть – ресурсы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поступления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государств-членов*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третьих государств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Расходная часть – распределение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государства-члены*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третьи государства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Поставка на внутренний рынок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Не указывается государство – член Евразийского экономического союза, которое представляет настоящий баланс.</w:t>
      </w:r>
    </w:p>
    <w:bookmarkStart w:name="z10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Методологии формирования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индикативных (прогнозных)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балансов газа, нефти 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нефтепродуктов в рамках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Евразийского экономического союза   </w:t>
      </w:r>
    </w:p>
    <w:bookmarkEnd w:id="56"/>
    <w:bookmarkStart w:name="z10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Индикативный (прогнозный) баланс топлива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для реактивных двигателей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Евразийского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20___ - 20___ годы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(тыс. тонн)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5"/>
        <w:gridCol w:w="2181"/>
        <w:gridCol w:w="2206"/>
        <w:gridCol w:w="993"/>
        <w:gridCol w:w="1041"/>
        <w:gridCol w:w="994"/>
      </w:tblGrid>
      <w:tr>
        <w:trPr>
          <w:trHeight w:val="270" w:hRule="atLeast"/>
        </w:trPr>
        <w:tc>
          <w:tcPr>
            <w:tcW w:w="6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статьи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(субстатьи) баланса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показатель за 20__ год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показатель в 20__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Прогнозный показатель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70"/>
        <w:gridCol w:w="7630"/>
      </w:tblGrid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Приходная часть – ресурсы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Российской Федерации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Российской Федерации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третьих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Расходная часть – распределение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государства-члены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третьи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Поставка на внутренний 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Российской Федерации</w:t>
            </w:r>
          </w:p>
        </w:tc>
        <w:tc>
          <w:tcPr>
            <w:tcW w:w="7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