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2552" w14:textId="cd92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25 июня 2013 г.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мая 2015 года № 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июня 2013 г. № 144 «О Методике расчета макроэкономических показателей, определяющих устойчивость экономического развития государств – членов Таможенного союза и Единого экономического пространства»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2015 г. № 47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Коллегии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
от 25 июня 2013 г. № 144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наименовании слова «Таможенного союза и Единого экономического пространства» заменить словами «Евразийского экономического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«пункта 1 статьи 6 Соглашения о согласованной макроэкономической политике от 9 декабря 2010 года» заменить словами «пункта 4 Протокола о проведении согласованной макроэкономической политики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«Таможенного союза и Единого экономического пространства» заменить словами «Евразийского экономического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макроэкономических показателей, определяющих устойчивость экономического развития государств – членов Таможенного союза и Единого экономического пространства, утвержденную указанным Решением, и приложения к ней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 Евразийской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г. № 144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2015 г. № 47)   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расчета макроэкономических показателей, определяющих</w:t>
      </w:r>
      <w:r>
        <w:br/>
      </w:r>
      <w:r>
        <w:rPr>
          <w:rFonts w:ascii="Times New Roman"/>
          <w:b/>
          <w:i w:val="false"/>
          <w:color w:val="000000"/>
        </w:rPr>
        <w:t>
устойчивость экономического развития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 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Настоящая Методика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 о Евразийском экономическом союзе от 29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Методологической основой расчета макроэкономических показателей, определяющих устойчивость экономического развития государств – членов Евразийского экономического союза (далее – государства-члены), являются Система национальных счетов (1993 год) и рекомендации Международного валютного фонда, изложенные в следующих документах: Руководство по статистике государственных финансов (2001 год), Статистика внешнего долга. Руководство для составителей и пользователей (2003 год), Руководство по индексу потребительских цен: теория и практика (2007 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Настоящая Методика применяется Евразийской экономической комиссией (далее – Комиссия) и государствами-членами для расчета в сопоставимых условиях следующих макроэкономических показателей, определяющих устойчивость экономического развития государств-членов: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дефицит (профицит) консолидированного бюджета сектора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долг сектора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 уровень инфляции (индекс потребительских цен).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В настоящей Методике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«безусловные долговые обязательства» – денежные требования кредитора к сектору государственного управления по выплате суммы основного долга в установленный срок, которые подлежат неукоснительному исполнению и к которым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кредитные соглашения и договоры, в том числе соглашения и договоры о пролонгации и реструктуризации долговых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займы, осуществляемые путем выпуска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безусловные обязательства, отнесенные законодательством государства-члена к долговым;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«взносы (отчисления) на социальные нужды» – фактические или условно исчисленные поступления в фонд социального обеспечения и (или) в бюджет центральных органов управления от работодателей, перечисляющих средства от имени своих работников, либо от лиц, работающих не по договору найма, или незанятых лиц, перечисляющих средства от собственного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«внешний долг сектора государственного управления» – остаток на конкретную дату признанных и непогашенных безусловных долговых обязательств сектора государственного управления, относимых в соответствии с законодательством государства-члена к внешним долговым обязательствам, за исключением взаимосвязанных показателей по консолидируемым позициям;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«внутренний долг сектора государственного управления» – остаток на конкретную дату признанных и непогашенных безусловных долговых обязательств сектора государственного управления, относимых в соответствии с законодательством государства-члена к внутренним долговым обязательствам, за исключением взаимосвязанных показателей по консолидируемым позициям;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консолидированного бюджета сектора государственного управления» – превышение расходов консолидированного бюджета сектора государственного управления с учетом операций с нефинансовыми активами над его доходами (превышение доходов консолидированного бюджета сектора государственного управления над его расходами с учетом операций с нефинансовыми активами);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«долг сектора государственного управления» – остаток на конкретную дату признанных и непогашенных безусловных внешних и внутренних долговых обязательств сектора государственного управления, за исключением взаимосвязанных показателей по консолидируемым позициям;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(расходы) консолидированного бюджета сектора государственного управления» – все виды операций, включаемые в консолидированный бюджет сектора государственного управления, которые приводят к увеличению (уменьшению) чистой стоимости активов сектора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«консолидированный бюджет сектора государственного управления» – денежный фонд сектора государственного управления,  за исключением взаимосвязанных показателей по консолидируемым позициям;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«национальный (резервный) фонд» – часть средств бюджета центральных органов управления, сосредотачиваемых на специализированных счетах и подлежащих обособленному учету и управлению для решения задач, направленных на обеспечение макроэкономической устойчивости и развитие экономики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«операции с нефинансовыми активами» – операции (приобретение за минусом выбытия), приводящие к изменению запасов нефинансовых активов, включающих в себя основные фонды, запасы материальных оборотных средств, ценности и непроизведенные активы;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«операции с финансовыми активами» – операции (приобретение за минусом выбытия), приводящие к изменению запасов финансовых активов, включающих в себя финансовые требования, монетарное золото и специальные права заимствования (СДР), предоставляемые Международным валютным фондом в порядке распределения;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«операции с обязательствами» – операции (принятие за минусом погашения), приводящие к изменению запасов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«сектор государственного управления» – органы государственного управления, включающие в себя центральное правительство (центральные органы управления и фонд социального обеспечения), региональные органы управления, местные (муниципальные) органы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«социальные трансферты» – текущие пособия, выделяемые из фонда социального обеспечения и (или) из бюджета центральных, региональных и местных (муниципальных) органов управления для покрытия нужд населения, возникающих в результате наступления таких событий, как болезнь, отсутствие работы, выход на пенсию или иные семейные обстоятельства;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органы» – органы исполнительной власти государств-членов, в компетенцию которых входят расчет макроэкономических показателей, определяющих устойчивость экономического развития этих государств, и (или) взаимодействие с Комиссией по вопросам предоставления и получения необходимой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«уровень инфляции (индекс потребительских цен)» – изменение во времени общего уровня цен на потребительские товары и услуги, приобретаемые домашними хозяйствами (населением) для непроизводственного потребления, рассчитываемое как отношение стоимости фиксированного набора потребительских товаров и услуг в ценах текущего периода к его стоимости в ценах предыдущего (базисного)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«условные долговые обязательства» – сумма полученных и непогашенных на конкретную дату негосударственных займов, обеспеченных гарантиями и поручительствами сектора государственного управления (если иное не предусмотрено законодательством государств-членов);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«фиксированный набор потребительских товаров и услуг» –перечень репрезентативно отобранных товаров и услуг, потребляемых домашними хозяйствами (населением), с определенными количественными соотношениями составляющих его элементов, не меняющимися в течение заданного периода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«финансовый год» – период времени, начинающийся 1 января и заканчивающийся 31 декабря календарного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«фонд социального обеспечения» – внебюджетная организация, деятельность которой состоит в обеспечении функционирования социальных программ путем предоставления социальных трансфертов (выплат) населению за счет взносов (отчислений) на социальные нужды,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– Фонд социальной защиты населения Министерства труда и социальной защиты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– акционерное общество «Государственный фонд социального страхования»;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– Пенсионный фонд Российской Федерации, Федеральный фонд обязательного медицинского страхования, территориальные фонды обязательного медицинского страхования и Фонд социального страхования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Дефицит (профицит) консолидированного бюджета сектора государственного управления рассчитывается по формуле: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Д(П)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= Д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</w:t>
      </w:r>
      <w:r>
        <w:rPr>
          <w:rFonts w:ascii="Times New Roman"/>
          <w:b w:val="false"/>
          <w:i w:val="false"/>
          <w:color w:val="000000"/>
          <w:vertAlign w:val="subscript"/>
        </w:rPr>
        <w:t>НФА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Д(П)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дефицит (профицит) консолидированного бюджета сектора государственного управления, измеренный в единицах национальной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доходы консолидированного бюджета сектора государственного управления, измеренные в единицах национальной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расходы консолидированного бюджета сектора государственного управления, измеренные в единицах национальной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НФА</w:t>
      </w:r>
      <w:r>
        <w:rPr>
          <w:rFonts w:ascii="Times New Roman"/>
          <w:b w:val="false"/>
          <w:i w:val="false"/>
          <w:color w:val="000000"/>
          <w:sz w:val="28"/>
        </w:rPr>
        <w:t> – операции с нефинансовыми активами консолидированного бюджета сектора государственного управления, измеренные в единицах национальной валюты.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Макроэкономический показатель, определяющий дефицит (профицит) консолидированного бюджета сектора государственного управления в процентах к валовому внутреннему продукту,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Д(П)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(%) = Д(П)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/ ВВП х 100 %,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Д(П)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КБ </w:t>
      </w:r>
      <w:r>
        <w:rPr>
          <w:rFonts w:ascii="Times New Roman"/>
          <w:b w:val="false"/>
          <w:i w:val="false"/>
          <w:color w:val="000000"/>
          <w:sz w:val="28"/>
        </w:rPr>
        <w:t>(%) – дефицит (профицит) консолидированного бюджета сектора государственного управления в процентах к валовому внутреннему продукту;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ВВП – объем валового внутреннего продукта в текущих ценах финансового года, измеренный в единицах национальной валюты.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предложению государства-члена Комиссия самостоятельно рассчитывает макроэкономический показатель дефицита (профицита) консолидированного бюджета сектора государственного управления в процентах к валовому внутреннему продукту на основе предоставляемой уполномоченным органом в Комиссию в соответствии с настоящей Методикой информации о номинальных объемах дефицита (профицита) консолидированного бюджета сектора государственного управления и валового внутреннего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Долг сектора государственного управления рассчитывается по формуле: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</w:t>
      </w:r>
      <w:r>
        <w:rPr>
          <w:rFonts w:ascii="Times New Roman"/>
          <w:b w:val="false"/>
          <w:i w:val="false"/>
          <w:color w:val="000000"/>
          <w:vertAlign w:val="subscript"/>
        </w:rPr>
        <w:t>СГУ</w:t>
      </w:r>
      <w:r>
        <w:rPr>
          <w:rFonts w:ascii="Times New Roman"/>
          <w:b w:val="false"/>
          <w:i w:val="false"/>
          <w:color w:val="000000"/>
          <w:sz w:val="28"/>
        </w:rPr>
        <w:t xml:space="preserve"> = Д</w:t>
      </w:r>
      <w:r>
        <w:rPr>
          <w:rFonts w:ascii="Times New Roman"/>
          <w:b w:val="false"/>
          <w:i w:val="false"/>
          <w:color w:val="000000"/>
          <w:vertAlign w:val="subscript"/>
        </w:rPr>
        <w:t>ЦОУ</w:t>
      </w:r>
      <w:r>
        <w:rPr>
          <w:rFonts w:ascii="Times New Roman"/>
          <w:b w:val="false"/>
          <w:i w:val="false"/>
          <w:color w:val="000000"/>
          <w:sz w:val="28"/>
        </w:rPr>
        <w:t xml:space="preserve"> + Д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РОУ </w:t>
      </w:r>
      <w:r>
        <w:rPr>
          <w:rFonts w:ascii="Times New Roman"/>
          <w:b w:val="false"/>
          <w:i w:val="false"/>
          <w:color w:val="000000"/>
          <w:sz w:val="28"/>
        </w:rPr>
        <w:t>+ Д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МОУ </w:t>
      </w:r>
      <w:r>
        <w:rPr>
          <w:rFonts w:ascii="Times New Roman"/>
          <w:b w:val="false"/>
          <w:i w:val="false"/>
          <w:color w:val="000000"/>
          <w:sz w:val="28"/>
        </w:rPr>
        <w:t xml:space="preserve">– </w:t>
      </w:r>
      <w:r>
        <w:drawing>
          <wp:inline distT="0" distB="0" distL="0" distR="0">
            <wp:extent cx="152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СГУ</w:t>
      </w:r>
      <w:r>
        <w:rPr>
          <w:rFonts w:ascii="Times New Roman"/>
          <w:b w:val="false"/>
          <w:i w:val="false"/>
          <w:color w:val="000000"/>
          <w:sz w:val="28"/>
        </w:rPr>
        <w:t> – долг сектора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ЦОУ</w:t>
      </w:r>
      <w:r>
        <w:rPr>
          <w:rFonts w:ascii="Times New Roman"/>
          <w:b w:val="false"/>
          <w:i w:val="false"/>
          <w:color w:val="000000"/>
          <w:sz w:val="28"/>
        </w:rPr>
        <w:t> – долг центральных органов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РОУ</w:t>
      </w:r>
      <w:r>
        <w:rPr>
          <w:rFonts w:ascii="Times New Roman"/>
          <w:b w:val="false"/>
          <w:i w:val="false"/>
          <w:color w:val="000000"/>
          <w:sz w:val="28"/>
        </w:rPr>
        <w:t> – долг региональных органов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МОУ</w:t>
      </w:r>
      <w:r>
        <w:rPr>
          <w:rFonts w:ascii="Times New Roman"/>
          <w:b w:val="false"/>
          <w:i w:val="false"/>
          <w:color w:val="000000"/>
          <w:sz w:val="28"/>
        </w:rPr>
        <w:t> – долг местных (муниципальных) органов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К – взаимосвязанные показатели по консолидируемым позициям.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 сектора государственного управления состоит из внешнего и внутреннего долга сектора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долга сектора государственного управления не включаются условные долговые обязательства сектора государственного управления и долговые обязательства органов денежно-кредитного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долга сектора государственного управления определяется по номинальной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Макроэкономический показатель долга сектора государственного управления в процентах к валовому внутреннему продукту рассчитывается как сумма значений показателей внешнего и внутреннего долга сектора государственного управления в процентах к объему валового внутреннего продукта: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</w:t>
      </w:r>
      <w:r>
        <w:rPr>
          <w:rFonts w:ascii="Times New Roman"/>
          <w:b w:val="false"/>
          <w:i w:val="false"/>
          <w:color w:val="000000"/>
          <w:vertAlign w:val="subscript"/>
        </w:rPr>
        <w:t>СГУ</w:t>
      </w:r>
      <w:r>
        <w:rPr>
          <w:rFonts w:ascii="Times New Roman"/>
          <w:b w:val="false"/>
          <w:i w:val="false"/>
          <w:color w:val="000000"/>
          <w:sz w:val="28"/>
        </w:rPr>
        <w:t xml:space="preserve"> (%) = Д</w:t>
      </w:r>
      <w:r>
        <w:rPr>
          <w:rFonts w:ascii="Times New Roman"/>
          <w:b w:val="false"/>
          <w:i w:val="false"/>
          <w:color w:val="000000"/>
          <w:vertAlign w:val="subscript"/>
        </w:rPr>
        <w:t>СГУВнешний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(%) + Д</w:t>
      </w:r>
      <w:r>
        <w:rPr>
          <w:rFonts w:ascii="Times New Roman"/>
          <w:b w:val="false"/>
          <w:i w:val="false"/>
          <w:color w:val="000000"/>
          <w:vertAlign w:val="subscript"/>
        </w:rPr>
        <w:t>СГУВнутренний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(%),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СГУ</w:t>
      </w:r>
      <w:r>
        <w:rPr>
          <w:rFonts w:ascii="Times New Roman"/>
          <w:b w:val="false"/>
          <w:i w:val="false"/>
          <w:color w:val="000000"/>
          <w:sz w:val="28"/>
        </w:rPr>
        <w:t xml:space="preserve"> (%) – долг сектора государственного управления в процентах к валовому внутреннему продукту;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СГУВнешний</w:t>
      </w:r>
      <w:r>
        <w:rPr>
          <w:rFonts w:ascii="Times New Roman"/>
          <w:b w:val="false"/>
          <w:i w:val="false"/>
          <w:color w:val="000000"/>
          <w:sz w:val="28"/>
        </w:rPr>
        <w:t> (%) – внешний долг сектора государственного управления в процентах к валовому внутреннему продукту;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СГУВнутренний</w:t>
      </w:r>
      <w:r>
        <w:rPr>
          <w:rFonts w:ascii="Times New Roman"/>
          <w:b w:val="false"/>
          <w:i w:val="false"/>
          <w:color w:val="000000"/>
          <w:sz w:val="28"/>
        </w:rPr>
        <w:t> (%) – внутренний долг сектора государственного управления в процентах к валовому внутреннему продукту.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внешнего и внутреннего долга сектора государственного управления в процентах к объему валового внутреннего продукта рассчитываются как сумма отношений номинальных объемов долга, выраженных в иностранной (эквивалент объема долговых обязательств, выраженный в долларах США) и национальной валютах заимствования, на конец последнего дня отчетного периода (финансовый год, квартал) к сумме квартальных объемов валового внутреннего продукта (за 4 предшествующих квартала). При этом часть номинального объема внешнего и внутреннего долга на конец последнего дня отчетного периода (финансовый год, квартал), выраженная в иностранной валюте заимствования (эквивалент объема долговых обязательств, выраженный в долларах США), делится на сумму квартальных объемов валового внутреннего продукта (за 4 предшествующих квартала), выраженных в национальной валюте и пересчитанных в доллары США по среднему квартальному курсу национальной валюты, рассчитанному национальными (центральными) банками государств-членов, а часть номинального объема внешнего и внутреннего долга на конец последнего дня отчетного периода (финансовый год, квартал), выраженная в национальной валюте заимствования, делится на сумму квартальных объемов валового внутреннего продукта (за 4 предшествующих квартала), выраженных в национальной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предложению государства-члена Комиссия самостоятельно рассчитывает макроэкономический показатель долга сектора государственного управления в процентах к валовому внутреннему продукту на основе предоставляемой в Комиссию информации о номинальных объемах внешнего и внутреннего долга сектора государственного управления по валютам обязательств (в национальной валюте, в иностранных валютах заимствования (эквивалент объема долговых обязательств, выраженный в долларах США)) на конец последнего дня отчетного периода (финансовый год, квартал), о квартальных объемах валового внутреннего продукта (за 4 предшествующих квартала), выраженных в национальной валюте, а также о среднем квартальном курсе национальной валюты к доллару США, рассчитанном национальным (центральным) банком этого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предложению государства-члена Комиссия проводит сравнительную оценку показателя долга сектора государственного управления в процентах к валовому внутреннему продукту, рассчитанного в соответствии с настоящей Методикой, с показателем долга сектора государственного управления в процентах к валовому внутреннему продукту, рассчитанным как отношение объема долга сектора государственного управления на конец последнего дня отчетного периода (финансовый год, квартал), пересчитанного в национальную валюту по официальному курсу национальной валюты к иностранной валюте (доллару США), установленному национальным (центральным) банком государства-члена на конец последнего дня отчетного периода (финансовый год, квартал), к объему валового внутреннего продукта (за 4 предшествующих квартала), выраженному в национальной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Методика расчета уровня инфляции (индекса потребительских цен) в государствах-членах основывается на международной методологии, изложенной в Руководстве по индексу потребительских цен: теория и практика (2007 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уровня инфляции (индекса потребительских цен) в годовом выражении измеряется как процентное отношение стоимости фиксированного набора потребительских товаров и услуг в ценах декабря анализируемого года к его стоимости в ценах декабря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квартального мониторинга уровня инфляции (индекса потребительских цен) используется показатель, измеренный в годовом выражении как процентное отношение стоимости фиксированного набора потребительских товаров и услуг в ценах последнего месяца квартала текущего года к его стоимости в ценах аналогичного месяца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аналитических целях используется показатель уровня инфляции (индекса потребительских цен) за период с начала года, измеряемый как процентное отношение стоимости фиксированного набора потребительских товаров и услуг в ценах анализируемого месяца к его стоимости в ценах декабря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уровня инфляции (индекса потребительских цен) производится государствами-членами в соответствии с национальной методологией.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уровня инфляции (индекса потребительских цен) допускаются различия в фиксированном наборе потребительских товаров и услуг, а также в долях (весах) потребления в общем объеме фиксированного набора потребительских товаров и услуг исходя из национальных особенностей потребления товаров и услуг домашними хозяйствами (населением) в государствах-членах.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Уполномоченные органы с учетом положений пунктов 4 – 6 настоящей Методики предоставляют в Комиссию информацию по показателям дефицита (профицита) консолидированного бюджета сектора государственного управления, долга сектора государственного управления, уровня инфляции (индекса потребительских цен), рассчитанным в соответствии с настоящей Методикой, а также по показателям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уполномоченными органами в Комиссию указанной информации осуществляется в соответствии с Протоколом о порядке формирования и распространения официальной статистической информации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расчета макроэкономических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показателей, определяющих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устойчивость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2015 г. № 47)     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показателей, используемых для расчета</w:t>
      </w:r>
      <w:r>
        <w:br/>
      </w:r>
      <w:r>
        <w:rPr>
          <w:rFonts w:ascii="Times New Roman"/>
          <w:b/>
          <w:i w:val="false"/>
          <w:color w:val="000000"/>
        </w:rPr>
        <w:t>
макроэкономических показателей, определяющих устойчивость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развития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09"/>
        <w:gridCol w:w="1591"/>
      </w:tblGrid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Код*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09"/>
        <w:gridCol w:w="1591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 Операции консолидированного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Доходы бюджета центральных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Расходы бюджета центральных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Социальные трансферты, выплачиваемые из бюджета центральных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Пенсии, выплачиваемые из бюджета центральных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Платежи на обслуживание долга центральных органов управления, выплачиваемые из бюджета центральных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Операции с нефинансовыми активами бюджета центральных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Дефицит (профицит) бюджета центральных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Доходы бюджета региональных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Расходы бюджета региональных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Платежи на обслуживание долга региональных органов управления, выплачиваемые из бюджета региональных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Операции с нефинансовыми активами бюджета региональных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Дефицит (профицит) бюджета региональных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Доходы бюджета местных (муниципальных)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Расходы бюджета местных (муниципальных)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Платежи на обслуживание долга местных (муниципальных) органов управления, выплачиваемые из бюджета местных (муниципальных)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 Операции с нефинансовыми активами бюджета местных (муниципальных)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 Дефицит (профицит) бюджета местных (муниципальных)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 Доходы бюджета фонда социального обеспечения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 Взносы (отчисления) на социальные нужды, перечисляемые в бюджет фонда социального обеспечения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 Расходы бюджета фонда социального обеспечения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 Социальные трансферты, выплачиваемые из бюджета фонда социального обеспечения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 Пенсии, выплачиваемые из бюджета фонда социального обеспечения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 Операции с нефинансовыми активами бюджета фонда социального обеспечения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 Дефицит (профицит) бюджета фонда социального обеспечения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 Доходы консолидированного бюджета сектора государственного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 Расходы консолидированного бюджета сектора государственного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 Платежи на обслуживание долга сектора государственного управления, выплачиваемые из консолидированного бюджета сектора государственного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 Операции с нефинансовыми активами консолидированного бюджета сектора государственного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 Дефицит (профицит) консолидированного бюджета сектора государственного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 Средства национального (резервного) фонда на начало отчетного периода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 Поступления в национальный (резервный) фонд в отчетном периоде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 Использование национального (резервного) фонда в отчетном периоде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 Средства национального (резервного) фонда на конец отчетного периода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 Операции с финансовыми активами и обязательствами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 Финансовые активы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 Внутренние финансовые активы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 Валюта и депозиты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 Ценные бумаги, кроме акций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 Кредиты и займы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 Кредиты и займы бюджетам других уровней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 Кредиты и займы юридическим лицам-резидентам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 Кредиты и займы физическим лицам-резидентам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 Акции и другие формы участия в капитале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 Прочая дебиторская задолженность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 Внешние финансовые активы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 Валюта и депозиты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 Ценные бумаги, кроме акций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 Кредиты и займы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 Кредиты и займы юридическим лицам-нерезидентам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 Кредиты и займы иностранным государствам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 Акции и другие формы участия в капитале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 Прочая дебиторская задолженность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 Монетарное золото и СДР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 Обязательства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 Внутренние обязательства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 Валюта и депозиты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 Ценные бумаги, кроме акций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 Кредиты и займы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 Кредиты и займы от бюджетов других уровней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 Кредиты и займы от юридических лиц-резидентов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 Прочая кредиторская задолженность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 Внешние обязательства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 Валюта и депозиты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 Ценные бумаги, кроме акций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 Кредиты и займы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 Кредиты и займы от юридических лиц-нерезидентов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 Кредиты и займы от иностранных государств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 Прочая кредиторская задолженность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 Долг 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Долг центрального правительства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 Внешний долг центрального правительства (в миллионах единиц иностранной валюты 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 Внешний долг центрального правительства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 Внутренний долг центрального правительства (в миллионах единиц иностранной валюты 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 Внутренний долг центрального правительства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 Условные долговые обязательства центрального правительства (в миллионах единиц национальной валюты, в процентах к валовому внутреннему продукту)**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Долг региональных органов управления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 Внешний долг региональных органов управления (в миллионах единиц иностранной валюты 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 Внешний долг региональных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 Внутренний долг региональных органов управления (в миллионах единиц иностранной валюты 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 Внутренний долг региональных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 Условные долговые обязательства региональных органов управления (в миллионах единиц национальной валюты, в процентах к валовому внутреннему продукту)**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Долг местных (муниципальных) органов управления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 Внешний долг местных (муниципальных) органов управления (в миллионах единиц иностранной валюты 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 Внешний долг местных (муниципальных)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 Внутренний долг местных (муниципальных) органов управления (в миллионах единиц иностранной валюты ((эквивалент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 Внутренний долг местных (муниципальных) органов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 Условные долговые обязательства местных (муниципальных) органов управления (в миллионах единиц национальной валюты, в процентах к валовому внутреннему продукту)**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Долг сектора государственного управления,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взаимосвязанных показателей по консолидируемым позициям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 Внешний долг сектора государственного управления (в миллионах единиц иностранной валюты 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 Внешний долг сектора государственного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 Внутренний долг сектора государственного управления (в миллионах единиц иностранной валюты (эквивалент объема долговых обязательств, выраженный в долларах США),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 Внутренний долг сектора государственного управления (в миллионах единиц национальной валюты, в процентах к валовому внутреннему продукту)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 Условные долговые обязательства сектора государственного управления (в миллионах единиц национальной валюты, в процентах к валовому внутреннему продукту)**</w:t>
            </w:r>
          </w:p>
        </w:tc>
        <w:tc>
          <w:tcPr>
            <w:tcW w:w="1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 </w:t>
      </w:r>
      <w:r>
        <w:rPr>
          <w:rFonts w:ascii="Times New Roman"/>
          <w:b w:val="false"/>
          <w:i w:val="false"/>
          <w:color w:val="000000"/>
          <w:sz w:val="28"/>
        </w:rPr>
        <w:t>Коды операций консолидированного бюджета сектора государственного управления,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 также коды операций с финансовыми активами и обязательствами приведены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Руководством по статистике государственных финансов (Международный валютный фонд, 2001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 </w:t>
      </w:r>
      <w:r>
        <w:rPr>
          <w:rFonts w:ascii="Times New Roman"/>
          <w:b w:val="false"/>
          <w:i w:val="false"/>
          <w:color w:val="000000"/>
          <w:sz w:val="28"/>
        </w:rPr>
        <w:t>Информация предоставляется в аналитических целях.».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