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a7ee" w14:textId="169a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Комиссии Таможенного союза в отношении классификаторов, используемых для заполнения таможенных деклараций, и их использования</w:t>
      </w:r>
    </w:p>
    <w:p>
      <w:pPr>
        <w:spacing w:after="0"/>
        <w:ind w:left="0"/>
        <w:jc w:val="both"/>
      </w:pPr>
      <w:r>
        <w:rPr>
          <w:rFonts w:ascii="Times New Roman"/>
          <w:b w:val="false"/>
          <w:i w:val="false"/>
          <w:color w:val="000000"/>
          <w:sz w:val="28"/>
        </w:rPr>
        <w:t>Решение Коллегии Евразийской экономической комиссии от 12 мая 2015 года № 52</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Положения о Евразийской экономической комиссии (</w:t>
      </w:r>
      <w:r>
        <w:rPr>
          <w:rFonts w:ascii="Times New Roman"/>
          <w:b w:val="false"/>
          <w:i w:val="false"/>
          <w:color w:val="000000"/>
          <w:sz w:val="28"/>
        </w:rPr>
        <w:t>приложение № 1</w:t>
      </w:r>
      <w:r>
        <w:rPr>
          <w:rFonts w:ascii="Times New Roman"/>
          <w:b w:val="false"/>
          <w:i w:val="false"/>
          <w:color w:val="000000"/>
          <w:sz w:val="28"/>
        </w:rPr>
        <w:t xml:space="preserve">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br/>
      </w:r>
      <w:r>
        <w:rPr>
          <w:rFonts w:ascii="Times New Roman"/>
          <w:b w:val="false"/>
          <w:i w:val="false"/>
          <w:color w:val="000000"/>
          <w:sz w:val="28"/>
        </w:rPr>
        <w:t>
</w:t>
      </w:r>
      <w:r>
        <w:rPr>
          <w:rFonts w:ascii="Times New Roman"/>
          <w:b w:val="false"/>
          <w:i w:val="false"/>
          <w:color w:val="000000"/>
          <w:sz w:val="28"/>
        </w:rPr>
        <w:t>
      1. Внести в решения Комиссии Таможенного союза изменения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 за исключением пункта 2 изменений, предусмотренных настоящим Решением.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изменений, предусмотренных настоящим Решением, вступает в силу с 1 сентября 2015 г.</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bookmarkStart w:name="z5" w:id="1"/>
    <w:p>
      <w:pPr>
        <w:spacing w:after="0"/>
        <w:ind w:left="0"/>
        <w:jc w:val="both"/>
      </w:pPr>
      <w:r>
        <w:rPr>
          <w:rFonts w:ascii="Times New Roman"/>
          <w:b w:val="false"/>
          <w:i w:val="false"/>
          <w:color w:val="000000"/>
          <w:sz w:val="28"/>
        </w:rPr>
        <w:t xml:space="preserve">
ПРИЛОЖЕНИЕ          </w:t>
      </w:r>
    </w:p>
    <w:bookmarkEnd w:id="1"/>
    <w:p>
      <w:pPr>
        <w:spacing w:after="0"/>
        <w:ind w:left="0"/>
        <w:jc w:val="both"/>
      </w:pPr>
      <w:r>
        <w:rPr>
          <w:rFonts w:ascii="Times New Roman"/>
          <w:b w:val="false"/>
          <w:i w:val="false"/>
          <w:color w:val="000000"/>
          <w:sz w:val="28"/>
        </w:rPr>
        <w:t>к Решению Коллегии Евразийской</w:t>
      </w:r>
      <w:r>
        <w:br/>
      </w:r>
      <w:r>
        <w:rPr>
          <w:rFonts w:ascii="Times New Roman"/>
          <w:b w:val="false"/>
          <w:i w:val="false"/>
          <w:color w:val="000000"/>
          <w:sz w:val="28"/>
        </w:rPr>
        <w:t xml:space="preserve">
экономической комиссии   </w:t>
      </w:r>
      <w:r>
        <w:br/>
      </w:r>
      <w:r>
        <w:rPr>
          <w:rFonts w:ascii="Times New Roman"/>
          <w:b w:val="false"/>
          <w:i w:val="false"/>
          <w:color w:val="000000"/>
          <w:sz w:val="28"/>
        </w:rPr>
        <w:t>
от 12 мая 2015 г. № 52    </w:t>
      </w:r>
    </w:p>
    <w:bookmarkStart w:name="z6" w:id="2"/>
    <w:p>
      <w:pPr>
        <w:spacing w:after="0"/>
        <w:ind w:left="0"/>
        <w:jc w:val="left"/>
      </w:pPr>
      <w:r>
        <w:rPr>
          <w:rFonts w:ascii="Times New Roman"/>
          <w:b/>
          <w:i w:val="false"/>
          <w:color w:val="000000"/>
        </w:rPr>
        <w:t xml:space="preserve"> 
ИЗМЕНЕНИЯ,</w:t>
      </w:r>
      <w:r>
        <w:br/>
      </w:r>
      <w:r>
        <w:rPr>
          <w:rFonts w:ascii="Times New Roman"/>
          <w:b/>
          <w:i w:val="false"/>
          <w:color w:val="000000"/>
        </w:rPr>
        <w:t>
вносимые в решения Комиссии Таможенного союза</w:t>
      </w:r>
    </w:p>
    <w:bookmarkEnd w:id="2"/>
    <w:bookmarkStart w:name="z7" w:id="3"/>
    <w:p>
      <w:pPr>
        <w:spacing w:after="0"/>
        <w:ind w:left="0"/>
        <w:jc w:val="both"/>
      </w:pPr>
      <w:r>
        <w:rPr>
          <w:rFonts w:ascii="Times New Roman"/>
          <w:b w:val="false"/>
          <w:i w:val="false"/>
          <w:color w:val="000000"/>
          <w:sz w:val="28"/>
        </w:rPr>
        <w:t>
      1. В </w:t>
      </w:r>
      <w:r>
        <w:rPr>
          <w:rFonts w:ascii="Times New Roman"/>
          <w:b w:val="false"/>
          <w:i w:val="false"/>
          <w:color w:val="000000"/>
          <w:sz w:val="28"/>
        </w:rPr>
        <w:t>Решении</w:t>
      </w:r>
      <w:r>
        <w:rPr>
          <w:rFonts w:ascii="Times New Roman"/>
          <w:b w:val="false"/>
          <w:i w:val="false"/>
          <w:color w:val="000000"/>
          <w:sz w:val="28"/>
        </w:rPr>
        <w:t xml:space="preserve"> Комиссии Таможенного союза от 20 сентября 2010 г.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а) дополнить пунктом 2</w:t>
      </w:r>
      <w:r>
        <w:rPr>
          <w:rFonts w:ascii="Times New Roman"/>
          <w:b w:val="false"/>
          <w:i w:val="false"/>
          <w:color w:val="000000"/>
          <w:vertAlign w:val="superscript"/>
        </w:rPr>
        <w:t>2</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«2</w:t>
      </w:r>
      <w:r>
        <w:rPr>
          <w:rFonts w:ascii="Times New Roman"/>
          <w:b w:val="false"/>
          <w:i w:val="false"/>
          <w:color w:val="000000"/>
          <w:vertAlign w:val="superscript"/>
        </w:rPr>
        <w:t>2</w:t>
      </w:r>
      <w:r>
        <w:rPr>
          <w:rFonts w:ascii="Times New Roman"/>
          <w:b w:val="false"/>
          <w:i w:val="false"/>
          <w:color w:val="000000"/>
          <w:sz w:val="28"/>
        </w:rPr>
        <w:t>. Утвердить со сроком вступления в силу с 1 сентября 2015 года классификатор типов транспортных средств международной перевозки (Приложение 25) и классификатор марок дорожных транспортных средств (Приложение 26).»;</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3</w:t>
      </w:r>
      <w:r>
        <w:rPr>
          <w:rFonts w:ascii="Times New Roman"/>
          <w:b w:val="false"/>
          <w:i w:val="false"/>
          <w:color w:val="000000"/>
          <w:sz w:val="28"/>
        </w:rPr>
        <w:t xml:space="preserve"> слова «государств – членов Таможенного союза» заменить словами «государств – членов Евразийского экономического союза», слова «Секретариата Комиссии Таможенного союза» заменить словами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в) в </w:t>
      </w:r>
      <w:r>
        <w:rPr>
          <w:rFonts w:ascii="Times New Roman"/>
          <w:b w:val="false"/>
          <w:i w:val="false"/>
          <w:color w:val="000000"/>
          <w:sz w:val="28"/>
        </w:rPr>
        <w:t>пункте 4</w:t>
      </w:r>
      <w:r>
        <w:rPr>
          <w:rFonts w:ascii="Times New Roman"/>
          <w:b w:val="false"/>
          <w:i w:val="false"/>
          <w:color w:val="000000"/>
          <w:sz w:val="28"/>
        </w:rPr>
        <w:t xml:space="preserve"> слова «Секретариату Комиссии Таможенного союза» заменить словами «Евразийской экономической комиссии», слова «государств – членов Таможенного союза» заменить словами «государств – членов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г) в классификаторе особенностей перемещения товаров (</w:t>
      </w:r>
      <w:r>
        <w:rPr>
          <w:rFonts w:ascii="Times New Roman"/>
          <w:b w:val="false"/>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позициях с кодами 008, 009, 011, 031, 032, 070, 071, 110, 111, 112, 113, 114, 115, 116, 117, 120, 121, 122, 123, 124, 125, 126, 127, 153 и 161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в позициях с кодами 134 и 138 слова «таможенной территории Таможенного союза» заменить словами «таможенной территории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в позициях с кодами 135 и 137 слова «таможенную территорию Таможенного союза» заменить словами «таможенную территорию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xml:space="preserve">
      в позиции с кодом 161 слова «ТН ВЭД ТС» заменить словами </w:t>
      </w:r>
      <w:r>
        <w:br/>
      </w:r>
      <w:r>
        <w:rPr>
          <w:rFonts w:ascii="Times New Roman"/>
          <w:b w:val="false"/>
          <w:i w:val="false"/>
          <w:color w:val="000000"/>
          <w:sz w:val="28"/>
        </w:rPr>
        <w:t>
«ТН ВЭД ЕАЭС»;</w:t>
      </w:r>
      <w:r>
        <w:br/>
      </w:r>
      <w:r>
        <w:rPr>
          <w:rFonts w:ascii="Times New Roman"/>
          <w:b w:val="false"/>
          <w:i w:val="false"/>
          <w:color w:val="000000"/>
          <w:sz w:val="28"/>
        </w:rPr>
        <w:t>
</w:t>
      </w:r>
      <w:r>
        <w:rPr>
          <w:rFonts w:ascii="Times New Roman"/>
          <w:b w:val="false"/>
          <w:i w:val="false"/>
          <w:color w:val="000000"/>
          <w:sz w:val="28"/>
        </w:rPr>
        <w:t>
      д) в позиции с кодом НВТ классификатора особенностей таможенного декларирования товаров (Приложение 6)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е) в классификаторе льгот по уплате таможенных платежей (</w:t>
      </w:r>
      <w:r>
        <w:rPr>
          <w:rFonts w:ascii="Times New Roman"/>
          <w:b w:val="false"/>
          <w:i w:val="false"/>
          <w:color w:val="000000"/>
          <w:sz w:val="28"/>
        </w:rPr>
        <w:t>Приложение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разделе 1:</w:t>
      </w:r>
      <w:r>
        <w:br/>
      </w:r>
      <w:r>
        <w:rPr>
          <w:rFonts w:ascii="Times New Roman"/>
          <w:b w:val="false"/>
          <w:i w:val="false"/>
          <w:color w:val="000000"/>
          <w:sz w:val="28"/>
        </w:rPr>
        <w:t>
</w:t>
      </w:r>
      <w:r>
        <w:rPr>
          <w:rFonts w:ascii="Times New Roman"/>
          <w:b w:val="false"/>
          <w:i w:val="false"/>
          <w:color w:val="000000"/>
          <w:sz w:val="28"/>
        </w:rPr>
        <w:t xml:space="preserve">
      в наименовании слова «законодательством Таможенного союза» заменить словами «правом Евразийского экономического союза»; </w:t>
      </w:r>
      <w:r>
        <w:br/>
      </w:r>
      <w:r>
        <w:rPr>
          <w:rFonts w:ascii="Times New Roman"/>
          <w:b w:val="false"/>
          <w:i w:val="false"/>
          <w:color w:val="000000"/>
          <w:sz w:val="28"/>
        </w:rPr>
        <w:t>
</w:t>
      </w:r>
      <w:r>
        <w:rPr>
          <w:rFonts w:ascii="Times New Roman"/>
          <w:b w:val="false"/>
          <w:i w:val="false"/>
          <w:color w:val="000000"/>
          <w:sz w:val="28"/>
        </w:rPr>
        <w:t>
      в подразделе 1.1:</w:t>
      </w:r>
      <w:r>
        <w:br/>
      </w:r>
      <w:r>
        <w:rPr>
          <w:rFonts w:ascii="Times New Roman"/>
          <w:b w:val="false"/>
          <w:i w:val="false"/>
          <w:color w:val="000000"/>
          <w:sz w:val="28"/>
        </w:rPr>
        <w:t>
</w:t>
      </w:r>
      <w:r>
        <w:rPr>
          <w:rFonts w:ascii="Times New Roman"/>
          <w:b w:val="false"/>
          <w:i w:val="false"/>
          <w:color w:val="000000"/>
          <w:sz w:val="28"/>
        </w:rPr>
        <w:t>
      в позициях с кодами ВБ, БГ, ПС, УФ, РС, ПМ, СМ, НС, ИП, ДМ, СГ, ВС, СР и МД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позицию с кодом БТ изложить в следующей редакции:</w:t>
      </w:r>
      <w:r>
        <w:br/>
      </w:r>
      <w:r>
        <w:rPr>
          <w:rFonts w:ascii="Times New Roman"/>
          <w:b w:val="false"/>
          <w:i w:val="false"/>
          <w:color w:val="000000"/>
          <w:sz w:val="28"/>
        </w:rPr>
        <w:t>
«</w:t>
      </w:r>
    </w:p>
    <w:bookmarkEnd w:id="3"/>
    <w:tbl>
      <w:tblPr>
        <w:tblW w:w="0" w:type="auto"/>
        <w:tblCellSpacing w:w="0" w:type="auto"/>
        <w:tblBorders>
          <w:top w:val="none"/>
          <w:left w:val="none"/>
          <w:bottom w:val="none"/>
          <w:right w:val="none"/>
          <w:insideH w:val="none"/>
          <w:insideV w:val="none"/>
        </w:tblBorders>
      </w:tblPr>
      <w:tblGrid>
        <w:gridCol w:w="12635"/>
        <w:gridCol w:w="1365"/>
      </w:tblGrid>
      <w:tr>
        <w:trPr>
          <w:trHeight w:val="1725" w:hRule="atLeast"/>
        </w:trPr>
        <w:tc>
          <w:tcPr>
            <w:tcW w:w="1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Освобождение от уплаты ввозной таможенной пошлины </w:t>
            </w:r>
            <w:r>
              <w:rPr>
                <w:rFonts w:ascii="Times New Roman"/>
                <w:b w:val="false"/>
                <w:i w:val="false"/>
                <w:color w:val="000000"/>
                <w:sz w:val="20"/>
              </w:rPr>
              <w:t xml:space="preserve">в отношении товаров, кроме подакцизных (за исключением легковых автомобилей, специально предназначенных для медицинских целей), ввозимых по линии третьих стран, международных организаций, правительств в благотворительных целях и (или) признаваемых в соответствии с законодательством государств – членов Евразийского экономического союза </w:t>
            </w:r>
            <w:r>
              <w:rPr>
                <w:rFonts w:ascii="Times New Roman"/>
                <w:b w:val="false"/>
                <w:i w:val="false"/>
                <w:color w:val="000000"/>
                <w:sz w:val="20"/>
              </w:rPr>
              <w:t>в качестве безвозмездной помощи (содействия), в том числе технической помощи (содействия)</w:t>
            </w:r>
          </w:p>
        </w:tc>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w:t>
            </w:r>
          </w:p>
        </w:tc>
      </w:tr>
    </w:tbl>
    <w:bookmarkStart w:name="z2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позиции с кодом КМ слова «государств – членов Таможенного союза» заменить словами «, входящими в право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в позициях с кодами ПС, ВС, СР, ГВ и ТВ слова «ТН ВЭД ТС» заменить словами «ТН ВЭД ЕАЭС»;</w:t>
      </w:r>
      <w:r>
        <w:br/>
      </w:r>
      <w:r>
        <w:rPr>
          <w:rFonts w:ascii="Times New Roman"/>
          <w:b w:val="false"/>
          <w:i w:val="false"/>
          <w:color w:val="000000"/>
          <w:sz w:val="28"/>
        </w:rPr>
        <w:t>
</w:t>
      </w:r>
      <w:r>
        <w:rPr>
          <w:rFonts w:ascii="Times New Roman"/>
          <w:b w:val="false"/>
          <w:i w:val="false"/>
          <w:color w:val="000000"/>
          <w:sz w:val="28"/>
        </w:rPr>
        <w:t xml:space="preserve">
      в позиции с кодом РВ слова «государств – членов Таможенного союза и (или) решениями Комиссии Таможенного союза» заменить словами «, входящими в право Евразийского экономического союза, </w:t>
      </w:r>
      <w:r>
        <w:br/>
      </w:r>
      <w:r>
        <w:rPr>
          <w:rFonts w:ascii="Times New Roman"/>
          <w:b w:val="false"/>
          <w:i w:val="false"/>
          <w:color w:val="000000"/>
          <w:sz w:val="28"/>
        </w:rPr>
        <w:t>
и (или) решениями Комиссии Таможенного союза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в позициях с кодами АС и КС слова «в отношении товаров, ввозимых на таможенную территорию Таможенного союза» заменить словами «в отношении товаров, ввозимых на таможенную территорию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позицию с кодом РЗ изложить в следующей редакции:</w:t>
      </w:r>
      <w:r>
        <w:br/>
      </w:r>
      <w:r>
        <w:rPr>
          <w:rFonts w:ascii="Times New Roman"/>
          <w:b w:val="false"/>
          <w:i w:val="false"/>
          <w:color w:val="000000"/>
          <w:sz w:val="28"/>
        </w:rPr>
        <w:t>
«</w:t>
      </w:r>
    </w:p>
    <w:bookmarkEnd w:id="4"/>
    <w:tbl>
      <w:tblPr>
        <w:tblW w:w="0" w:type="auto"/>
        <w:tblCellSpacing w:w="0" w:type="auto"/>
        <w:tblBorders>
          <w:top w:val="none"/>
          <w:left w:val="none"/>
          <w:bottom w:val="none"/>
          <w:right w:val="none"/>
          <w:insideH w:val="none"/>
          <w:insideV w:val="none"/>
        </w:tblBorders>
      </w:tblPr>
      <w:tblGrid>
        <w:gridCol w:w="12635"/>
        <w:gridCol w:w="1365"/>
      </w:tblGrid>
      <w:tr>
        <w:trPr>
          <w:trHeight w:val="30" w:hRule="atLeast"/>
        </w:trPr>
        <w:tc>
          <w:tcPr>
            <w:tcW w:w="1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«Освобождение от уплаты ввозной таможенной пошлины </w:t>
            </w:r>
            <w:r>
              <w:rPr>
                <w:rFonts w:ascii="Times New Roman"/>
                <w:b w:val="false"/>
                <w:i w:val="false"/>
                <w:color w:val="000000"/>
                <w:sz w:val="20"/>
              </w:rPr>
              <w:t>в отношении незарегистрированных лекарственных средств, крови человеческой и ее компонентов, органов и (или) тканей человека, в том числе гемопоэтических стволовых клеток и (или) костного мозга, ввозимых (ввезенных) для</w:t>
            </w:r>
            <w:r>
              <w:rPr>
                <w:rFonts w:ascii="Times New Roman"/>
                <w:b w:val="false"/>
                <w:i w:val="false"/>
                <w:color w:val="000000"/>
                <w:sz w:val="20"/>
              </w:rPr>
              <w:t> </w:t>
            </w:r>
            <w:r>
              <w:rPr>
                <w:rFonts w:ascii="Times New Roman"/>
                <w:b w:val="false"/>
                <w:i w:val="false"/>
                <w:color w:val="000000"/>
                <w:sz w:val="20"/>
              </w:rPr>
              <w:t>оказания медицинской помощи по жизненным показаниям конкретного пациента и (или) проведения неродственной трансплантации на основании заключения (разрешительного документа) либо лицензии, выданных уполномоченным государственным органом государства – члена Евразийского экономического союза</w:t>
            </w:r>
          </w:p>
        </w:tc>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РЗ</w:t>
            </w:r>
          </w:p>
        </w:tc>
      </w:tr>
    </w:tbl>
    <w:p>
      <w:pPr>
        <w:spacing w:after="0"/>
        <w:ind w:left="0"/>
        <w:jc w:val="both"/>
      </w:pPr>
      <w:r>
        <w:rPr>
          <w:rFonts w:ascii="Times New Roman"/>
          <w:b w:val="false"/>
          <w:i w:val="false"/>
          <w:color w:val="000000"/>
          <w:sz w:val="28"/>
        </w:rPr>
        <w:t>                                                                   »;</w:t>
      </w:r>
    </w:p>
    <w:bookmarkStart w:name="z28" w:id="5"/>
    <w:p>
      <w:pPr>
        <w:spacing w:after="0"/>
        <w:ind w:left="0"/>
        <w:jc w:val="both"/>
      </w:pPr>
      <w:r>
        <w:rPr>
          <w:rFonts w:ascii="Times New Roman"/>
          <w:b w:val="false"/>
          <w:i w:val="false"/>
          <w:color w:val="000000"/>
          <w:sz w:val="28"/>
        </w:rPr>
        <w:t>
      дополнить позициями следующего содержания:</w:t>
      </w:r>
      <w:r>
        <w:br/>
      </w:r>
      <w:r>
        <w:rPr>
          <w:rFonts w:ascii="Times New Roman"/>
          <w:b w:val="false"/>
          <w:i w:val="false"/>
          <w:color w:val="000000"/>
          <w:sz w:val="28"/>
        </w:rPr>
        <w:t>
«</w:t>
      </w:r>
    </w:p>
    <w:bookmarkEnd w:id="5"/>
    <w:tbl>
      <w:tblPr>
        <w:tblW w:w="0" w:type="auto"/>
        <w:tblCellSpacing w:w="0" w:type="auto"/>
        <w:tblBorders>
          <w:top w:val="none"/>
          <w:left w:val="none"/>
          <w:bottom w:val="none"/>
          <w:right w:val="none"/>
          <w:insideH w:val="none"/>
          <w:insideV w:val="none"/>
        </w:tblBorders>
      </w:tblPr>
      <w:tblGrid>
        <w:gridCol w:w="12726"/>
        <w:gridCol w:w="1274"/>
      </w:tblGrid>
      <w:tr>
        <w:trPr>
          <w:trHeight w:val="780" w:hRule="atLeast"/>
        </w:trPr>
        <w:tc>
          <w:tcPr>
            <w:tcW w:w="12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от взимания ввозных таможенных пошлин в отношении сахара-сырца тростникового субпозиций 1701 13 и 1701 14 ТН ВЭД ЕАЭС, ввозимого в период 2010 – 2019 годов для промышленной переработки на территории Республики Казахстан</w:t>
            </w:r>
          </w:p>
        </w:tc>
        <w:tc>
          <w:tcPr>
            <w:tcW w:w="12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ЗШ</w:t>
            </w:r>
          </w:p>
        </w:tc>
      </w:tr>
      <w:tr>
        <w:trPr>
          <w:trHeight w:val="1335" w:hRule="atLeast"/>
        </w:trPr>
        <w:tc>
          <w:tcPr>
            <w:tcW w:w="12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от уплаты ввозной таможенной пошлины в отношении товаров, являющихся продукцией военного назначения, ввоз которых осуществляется в период 2015 – 2022 годов в Республику Армения для обеспечения потребностей Вооруженных сил Республики Армения и аналоги которых не производятся на территориях других государств – членов Евразийского экономического союза</w:t>
            </w:r>
          </w:p>
        </w:tc>
        <w:tc>
          <w:tcPr>
            <w:tcW w:w="12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w:t>
            </w:r>
          </w:p>
        </w:tc>
      </w:tr>
      <w:tr>
        <w:trPr>
          <w:trHeight w:val="1275" w:hRule="atLeast"/>
        </w:trPr>
        <w:tc>
          <w:tcPr>
            <w:tcW w:w="12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от уплаты ввозной таможенной пошлины в отношении ввозимых до 31 декабря 2022 г. в Республику Армения в целях использования для международных перевозок и (или) внутренних перевозок по территории Республики Армения и (или) между территориями государств – членов Евразийского экономического союза: вертолетов гражданских с максимальной взлетной массой более 750 кг, но не более 3 175 кг, включаемых в подсубпозицию 8802 11 000 1 ТН ВЭД ЕАЭС; вертолетов гражданских с массой пустого снаряженного аппарата более 2 000 кг, но не более 5 000 кг, и максимальной взлетной массой более 4 000 кг, но не более 10 500 кг, включаемых в подсубпозицию 8802 12 000 1 ТН ВЭД ЕАЭС; гражданских пассажирских самолетов с массой пустого снаряженного аппарата не более 2 000 кг и максимальной взлетной массой более 750 кг, включаемых в подсубпозицию 8802 20 000 1 ТН ВЭД ЕАЭС; самолетов с массой пустого снаряженного аппарата более 60 000 кг, но не более 90 000 кг, с максимальной взлетной массой более 120 000 кг, но не более 180 000 кг, гражданских грузовых среднемагистральных, включаемых в подсубпозицию 8802 40 003 9 ТН ВЭД ЕАЭС; самолетов с массой пустого снаряженного аппарата более 160 000 кг, гражданских грузовых широкофюзеляжных дальнемагистральных с максимальной взлетной массой не более 370 000 кг, включаемых в подсубпозицию 8802 40 009 7 ТН ВЭД ЕАЭС</w:t>
            </w:r>
          </w:p>
        </w:tc>
        <w:tc>
          <w:tcPr>
            <w:tcW w:w="12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p>
        </w:tc>
      </w:tr>
      <w:tr>
        <w:trPr>
          <w:trHeight w:val="30" w:hRule="atLeast"/>
        </w:trPr>
        <w:tc>
          <w:tcPr>
            <w:tcW w:w="12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от уплаты ввозной таможенной пошлины в отношении гражданских пассажирских самолетов подсубпозиций 8802 40 003 5 и 8802 40 003 6 ТН ВЭД ЕАЭС с количеством пассажирских мест не менее чем на 110 человек, но не более чем на 300 человек, определяемых в соответствии с сертификатом типа, выданным уполномоченным органом страны производителя, ввозимых по 31 декабря 2016 г. в Республику Армения, а также с количеством пассажирских мест не менее чем на 110 человек, но не более чем на 300 человек, определяемых в соответствии со схемой размещения пассажиров (LOPA), одобренной уполномоченным органом, ответственным за поддержание летной годности воздушных судов, ввозимых с 1 января 2017 г. по 30 июня 2019 г. в Республику Армения в целях их использования для международных перевозок и (или) внутренних перевозок по территории Республики Армения и (или) между территориями государств – членов Евразийского экономического союза</w:t>
            </w:r>
          </w:p>
        </w:tc>
        <w:tc>
          <w:tcPr>
            <w:tcW w:w="12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p>
        </w:tc>
      </w:tr>
      <w:tr>
        <w:trPr>
          <w:trHeight w:val="135" w:hRule="atLeast"/>
        </w:trPr>
        <w:tc>
          <w:tcPr>
            <w:tcW w:w="12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от уплаты ввозной таможенной пошлины в отношении гражданских пассажирских самолетов подсубпозиций 8802 40 003 5 и 8802 40 003 6 ТН ВЭД ЕАЭС, ввезенных в Республику Армения с применением льготы, указанной в позиции с кодом ИН, и ввозимых в течение срока их эксплуатации в Республику Армения после их ремонта или технического обслуживания за пределами таможенной территории Евразийского экономического союза</w:t>
            </w:r>
          </w:p>
        </w:tc>
        <w:tc>
          <w:tcPr>
            <w:tcW w:w="12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w:t>
            </w:r>
          </w:p>
        </w:tc>
      </w:tr>
      <w:tr>
        <w:trPr>
          <w:trHeight w:val="135" w:hRule="atLeast"/>
        </w:trPr>
        <w:tc>
          <w:tcPr>
            <w:tcW w:w="12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от уплаты ввозной таможенной пошлины в отношении товаров, ввозимых на таможенную территорию Евразийского экономического союза для целей строительства и модернизации на территории Республики Армения атомной электростанции и ее эксплуатации в течение гарантийного срока по Перечню товаров, ввозимых на таможенную территорию Таможенного союза для целей строительства атомной электростанции и ее эксплуатации в течение гарантийного срока, утвержденному Решением Совета Евразийской экономической комиссии от 19 марта 2012 г. № 9</w:t>
            </w:r>
          </w:p>
        </w:tc>
        <w:tc>
          <w:tcPr>
            <w:tcW w:w="12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w:t>
            </w:r>
          </w:p>
        </w:tc>
      </w:tr>
      <w:tr>
        <w:trPr>
          <w:trHeight w:val="150" w:hRule="atLeast"/>
        </w:trPr>
        <w:tc>
          <w:tcPr>
            <w:tcW w:w="12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от взимания ввозных таможенных пошлин в отношении сахара-сырца тростникового субпозиций 1701 13 и 1701 14 ТН ВЭД ЕАЭС, ввозимого в период 2015 – 2025 годов для промышленной переработки на территории Республики Армения</w:t>
            </w:r>
          </w:p>
        </w:tc>
        <w:tc>
          <w:tcPr>
            <w:tcW w:w="12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w:t>
            </w:r>
          </w:p>
        </w:tc>
      </w:tr>
    </w:tbl>
    <w:bookmarkStart w:name="z2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подразделе 1.2:</w:t>
      </w:r>
      <w:r>
        <w:br/>
      </w:r>
      <w:r>
        <w:rPr>
          <w:rFonts w:ascii="Times New Roman"/>
          <w:b w:val="false"/>
          <w:i w:val="false"/>
          <w:color w:val="000000"/>
          <w:sz w:val="28"/>
        </w:rPr>
        <w:t>
</w:t>
      </w:r>
      <w:r>
        <w:rPr>
          <w:rFonts w:ascii="Times New Roman"/>
          <w:b w:val="false"/>
          <w:i w:val="false"/>
          <w:color w:val="000000"/>
          <w:sz w:val="28"/>
        </w:rPr>
        <w:t>
      в наименовании и позициях с кодами Д и Н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в позиции с кодом В слова «государств – членов Таможенного союза и (или) решениями Комиссии Таможенного союза» заменить словами «, входящими в право Евразийского экономического союза, и (или) решениями Комиссии Таможенного союза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в подразделе 1.3:</w:t>
      </w:r>
      <w:r>
        <w:br/>
      </w:r>
      <w:r>
        <w:rPr>
          <w:rFonts w:ascii="Times New Roman"/>
          <w:b w:val="false"/>
          <w:i w:val="false"/>
          <w:color w:val="000000"/>
          <w:sz w:val="28"/>
        </w:rPr>
        <w:t>
</w:t>
      </w:r>
      <w:r>
        <w:rPr>
          <w:rFonts w:ascii="Times New Roman"/>
          <w:b w:val="false"/>
          <w:i w:val="false"/>
          <w:color w:val="000000"/>
          <w:sz w:val="28"/>
        </w:rPr>
        <w:t>
      в наименовании и позиции с кодом МД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в позиции с кодом РВ слова «государств – членов Таможенного союза и (или) решениями Комиссии Таможенного союза» заменить словами «, входящими в право Евразийского экономического союза, и (или) решениями Комиссии Таможенного союза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в позиции с кодом РП подраздела 2.1, в наименовании и позиции с кодом И (пункт 2.3.3) подраздела 2.3 и наименовании подраздела 2.4 раздела 2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в разделе 3:</w:t>
      </w:r>
      <w:r>
        <w:br/>
      </w:r>
      <w:r>
        <w:rPr>
          <w:rFonts w:ascii="Times New Roman"/>
          <w:b w:val="false"/>
          <w:i w:val="false"/>
          <w:color w:val="000000"/>
          <w:sz w:val="28"/>
        </w:rPr>
        <w:t>
</w:t>
      </w:r>
      <w:r>
        <w:rPr>
          <w:rFonts w:ascii="Times New Roman"/>
          <w:b w:val="false"/>
          <w:i w:val="false"/>
          <w:color w:val="000000"/>
          <w:sz w:val="28"/>
        </w:rPr>
        <w:t>
      в позиции с кодом СМ подраздела 3.1 и позициях с кодами Ф и Л подраздела 3.3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в подразделе 3.4:</w:t>
      </w:r>
      <w:r>
        <w:br/>
      </w:r>
      <w:r>
        <w:rPr>
          <w:rFonts w:ascii="Times New Roman"/>
          <w:b w:val="false"/>
          <w:i w:val="false"/>
          <w:color w:val="000000"/>
          <w:sz w:val="28"/>
        </w:rPr>
        <w:t>
</w:t>
      </w:r>
      <w:r>
        <w:rPr>
          <w:rFonts w:ascii="Times New Roman"/>
          <w:b w:val="false"/>
          <w:i w:val="false"/>
          <w:color w:val="000000"/>
          <w:sz w:val="28"/>
        </w:rPr>
        <w:t>
      в позиции с кодом ФБ пункта 3.4.2 слова «таможенным законодательством таможенного союза» заменить словами «регулирующими таможенные правоотношения международными договорами и актами, составляющими право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в позиции с кодом НИ (пункт 3.4.3)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в разделе 4:</w:t>
      </w:r>
      <w:r>
        <w:br/>
      </w:r>
      <w:r>
        <w:rPr>
          <w:rFonts w:ascii="Times New Roman"/>
          <w:b w:val="false"/>
          <w:i w:val="false"/>
          <w:color w:val="000000"/>
          <w:sz w:val="28"/>
        </w:rPr>
        <w:t>
</w:t>
      </w:r>
      <w:r>
        <w:rPr>
          <w:rFonts w:ascii="Times New Roman"/>
          <w:b w:val="false"/>
          <w:i w:val="false"/>
          <w:color w:val="000000"/>
          <w:sz w:val="28"/>
        </w:rPr>
        <w:t>
      в позициях с кодами ВБ и КА пункта 4.1.1 и позициях с кодами МВ, МУ, ММ и МН пункта 4.1.2 подраздела 4.1, позиции с кодом СМ пункта 4.2.1 подраздела 4.2, позиции с кодом И (пункт 4.3.3) подраздела 4.3 и позиции с кодом НИ (пункт 4.4.3) подраздела 4.4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xml:space="preserve">
      пункт 4.4.1 подраздела 4.4 после позиции с кодом ХК дополнить позицией следующего содержания: </w:t>
      </w:r>
      <w:r>
        <w:br/>
      </w:r>
      <w:r>
        <w:rPr>
          <w:rFonts w:ascii="Times New Roman"/>
          <w:b w:val="false"/>
          <w:i w:val="false"/>
          <w:color w:val="000000"/>
          <w:sz w:val="28"/>
        </w:rPr>
        <w:t>
«</w:t>
      </w:r>
    </w:p>
    <w:bookmarkEnd w:id="6"/>
    <w:tbl>
      <w:tblPr>
        <w:tblW w:w="0" w:type="auto"/>
        <w:tblCellSpacing w:w="0" w:type="auto"/>
        <w:tblBorders>
          <w:top w:val="none"/>
          <w:left w:val="none"/>
          <w:bottom w:val="none"/>
          <w:right w:val="none"/>
          <w:insideH w:val="none"/>
          <w:insideV w:val="none"/>
        </w:tblBorders>
      </w:tblPr>
      <w:tblGrid>
        <w:gridCol w:w="12635"/>
        <w:gridCol w:w="1365"/>
      </w:tblGrid>
      <w:tr>
        <w:trPr>
          <w:trHeight w:val="150" w:hRule="atLeast"/>
        </w:trPr>
        <w:tc>
          <w:tcPr>
            <w:tcW w:w="1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Освобождение от уплаты НДС в отношении ввозимых в Российскую Федерацию расходных материалов для научных исследований, аналоги которых не производятся в Российской Федерации </w:t>
            </w:r>
          </w:p>
        </w:tc>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w:t>
            </w:r>
          </w:p>
        </w:tc>
      </w:tr>
    </w:tbl>
    <w:p>
      <w:pPr>
        <w:spacing w:after="0"/>
        <w:ind w:left="0"/>
        <w:jc w:val="both"/>
      </w:pPr>
      <w:r>
        <w:rPr>
          <w:rFonts w:ascii="Times New Roman"/>
          <w:b w:val="false"/>
          <w:i w:val="false"/>
          <w:color w:val="000000"/>
          <w:sz w:val="28"/>
        </w:rPr>
        <w:t>                                                                 »;</w:t>
      </w:r>
    </w:p>
    <w:bookmarkStart w:name="z44" w:id="7"/>
    <w:p>
      <w:pPr>
        <w:spacing w:after="0"/>
        <w:ind w:left="0"/>
        <w:jc w:val="both"/>
      </w:pPr>
      <w:r>
        <w:rPr>
          <w:rFonts w:ascii="Times New Roman"/>
          <w:b w:val="false"/>
          <w:i w:val="false"/>
          <w:color w:val="000000"/>
          <w:sz w:val="28"/>
        </w:rPr>
        <w:t>
      дополнить разделом 5 следующего содержания:</w:t>
      </w:r>
    </w:p>
    <w:bookmarkEnd w:id="7"/>
    <w:p>
      <w:pPr>
        <w:spacing w:after="0"/>
        <w:ind w:left="0"/>
        <w:jc w:val="both"/>
      </w:pPr>
      <w:r>
        <w:rPr>
          <w:rFonts w:ascii="Times New Roman"/>
          <w:b w:val="false"/>
          <w:i w:val="false"/>
          <w:color w:val="000000"/>
          <w:sz w:val="28"/>
        </w:rPr>
        <w:t>«Раздел 5. Льготы, предусмотренные законодательством Республики Армения</w:t>
      </w:r>
    </w:p>
    <w:p>
      <w:pPr>
        <w:spacing w:after="0"/>
        <w:ind w:left="0"/>
        <w:jc w:val="both"/>
      </w:pPr>
      <w:r>
        <w:rPr>
          <w:rFonts w:ascii="Times New Roman"/>
          <w:b w:val="false"/>
          <w:i w:val="false"/>
          <w:color w:val="000000"/>
          <w:sz w:val="28"/>
        </w:rPr>
        <w:t>5.1. Льготы по уплате таможенных сборов, предусмотренные законодательством Республики Армения</w:t>
      </w:r>
    </w:p>
    <w:tbl>
      <w:tblPr>
        <w:tblW w:w="0" w:type="auto"/>
        <w:tblCellSpacing w:w="0" w:type="auto"/>
        <w:tblBorders>
          <w:top w:val="none"/>
          <w:left w:val="none"/>
          <w:bottom w:val="none"/>
          <w:right w:val="none"/>
          <w:insideH w:val="none"/>
          <w:insideV w:val="none"/>
        </w:tblBorders>
      </w:tblPr>
      <w:tblGrid>
        <w:gridCol w:w="12635"/>
        <w:gridCol w:w="1365"/>
      </w:tblGrid>
      <w:tr>
        <w:trPr>
          <w:trHeight w:val="150" w:hRule="atLeast"/>
        </w:trPr>
        <w:tc>
          <w:tcPr>
            <w:tcW w:w="1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от уплаты таможенных сборов в отношении товаров, ввозимых в Республику Армения в рамках гуманитарной помощи и (или) благотворительных программ</w:t>
            </w:r>
          </w:p>
        </w:tc>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p>
        </w:tc>
      </w:tr>
      <w:tr>
        <w:trPr>
          <w:trHeight w:val="150" w:hRule="atLeast"/>
        </w:trPr>
        <w:tc>
          <w:tcPr>
            <w:tcW w:w="1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от уплаты таможенных сборов в отношении культурных ценностей, зарегистрированных или подлежащих регистрации в установленном порядке в Республике Армения, помещаемых под таможенные процедуры временного вывоза или временного ввоза (допуска) в целях экспонирования, реимпорта при их обратном ввозе или реэкспорта при их обратном вывозе</w:t>
            </w:r>
          </w:p>
        </w:tc>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КЦ</w:t>
            </w:r>
          </w:p>
        </w:tc>
      </w:tr>
      <w:tr>
        <w:trPr>
          <w:trHeight w:val="150" w:hRule="atLeast"/>
        </w:trPr>
        <w:tc>
          <w:tcPr>
            <w:tcW w:w="1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от уплаты таможенных сборов в отношении товаров, для которых международными договорами и актами, составляющими право Евразийского экономического союза, международными договорами и законодательными актами Республики Армения установлены льготы по уплате таможенных пошлин, налогов</w:t>
            </w:r>
          </w:p>
        </w:tc>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r>
      <w:tr>
        <w:trPr>
          <w:trHeight w:val="150" w:hRule="atLeast"/>
        </w:trPr>
        <w:tc>
          <w:tcPr>
            <w:tcW w:w="1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льготы по уплате таможенных сборов </w:t>
            </w:r>
          </w:p>
        </w:tc>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w:t>
            </w:r>
          </w:p>
        </w:tc>
      </w:tr>
      <w:tr>
        <w:trPr>
          <w:trHeight w:val="150" w:hRule="atLeast"/>
        </w:trPr>
        <w:tc>
          <w:tcPr>
            <w:tcW w:w="1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Льготы по уплате таможенных сборов не используются (не запрашиваются)</w:t>
            </w:r>
          </w:p>
        </w:tc>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w:t>
            </w:r>
          </w:p>
        </w:tc>
      </w:tr>
    </w:tbl>
    <w:p>
      <w:pPr>
        <w:spacing w:after="0"/>
        <w:ind w:left="0"/>
        <w:jc w:val="both"/>
      </w:pPr>
      <w:r>
        <w:rPr>
          <w:rFonts w:ascii="Times New Roman"/>
          <w:b w:val="false"/>
          <w:i w:val="false"/>
          <w:color w:val="000000"/>
          <w:sz w:val="28"/>
        </w:rPr>
        <w:t>5.2. Льготы по уплате таможенных пошлин, предусмотренные законодательством Республики Армения</w:t>
      </w:r>
    </w:p>
    <w:p>
      <w:pPr>
        <w:spacing w:after="0"/>
        <w:ind w:left="0"/>
        <w:jc w:val="both"/>
      </w:pPr>
      <w:r>
        <w:rPr>
          <w:rFonts w:ascii="Times New Roman"/>
          <w:b w:val="false"/>
          <w:i w:val="false"/>
          <w:color w:val="000000"/>
          <w:sz w:val="28"/>
        </w:rPr>
        <w:t>5.2.1. Льготы по уплате таможенных пошлин, предусмотренные международными соглашениями Республики Армения</w:t>
      </w:r>
    </w:p>
    <w:tbl>
      <w:tblPr>
        <w:tblW w:w="0" w:type="auto"/>
        <w:tblCellSpacing w:w="0" w:type="auto"/>
        <w:tblBorders>
          <w:top w:val="none"/>
          <w:left w:val="none"/>
          <w:bottom w:val="none"/>
          <w:right w:val="none"/>
          <w:insideH w:val="none"/>
          <w:insideV w:val="none"/>
        </w:tblBorders>
      </w:tblPr>
      <w:tblGrid>
        <w:gridCol w:w="12635"/>
        <w:gridCol w:w="1365"/>
      </w:tblGrid>
      <w:tr>
        <w:trPr>
          <w:trHeight w:val="150" w:hRule="atLeast"/>
        </w:trPr>
        <w:tc>
          <w:tcPr>
            <w:tcW w:w="1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Льготы по уплате ввозных таможенных пошлин в рамках международных договоров Республики Армения, заключенных до 1 января 2015 г. (в том числе при реализации после 1 января 2015 г. программ, осуществляемых в рамках этих международных договоров), применяемые в соответствии с указанными международными договорами</w:t>
            </w:r>
          </w:p>
        </w:tc>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r>
      <w:tr>
        <w:trPr>
          <w:trHeight w:val="150" w:hRule="atLeast"/>
        </w:trPr>
        <w:tc>
          <w:tcPr>
            <w:tcW w:w="1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Льготы по уплате ввозных таможенных пошлин в рамках реализации программы «Армяно-индийский учебный центр информационных и коммуникационных технологий», применяемые до окончания срока ее действия в соответствии с Меморандумом о взаимопонимании между Правительством Республики Армения и Правительством Республики Индия «О создании армяно-индийского учебного центра информационных и коммуникационных технологий» от 26 июня 2009 г.</w:t>
            </w:r>
          </w:p>
        </w:tc>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ГН</w:t>
            </w:r>
          </w:p>
        </w:tc>
      </w:tr>
      <w:tr>
        <w:trPr>
          <w:trHeight w:val="150" w:hRule="atLeast"/>
        </w:trPr>
        <w:tc>
          <w:tcPr>
            <w:tcW w:w="1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Льготы по уплате ввозных таможенных пошлин в рамках реализации программы «Международная школа Дилижана», утвержденной Законом Республики Армения от 19 июня 2013 г., применяемые до 1 января 2018 г., за исключением транспортных средств, велосипедов, водного и воздушного транспорта </w:t>
            </w:r>
          </w:p>
        </w:tc>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w:t>
            </w:r>
          </w:p>
        </w:tc>
      </w:tr>
      <w:tr>
        <w:trPr>
          <w:trHeight w:val="150" w:hRule="atLeast"/>
        </w:trPr>
        <w:tc>
          <w:tcPr>
            <w:tcW w:w="1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Иные, не поименованные в подразделе 1.1 и пункте 5.2.1 настоящего подраздела, льготы по уплате таможенных пошлин</w:t>
            </w:r>
          </w:p>
        </w:tc>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w:t>
            </w:r>
          </w:p>
        </w:tc>
      </w:tr>
    </w:tbl>
    <w:p>
      <w:pPr>
        <w:spacing w:after="0"/>
        <w:ind w:left="0"/>
        <w:jc w:val="both"/>
      </w:pPr>
      <w:r>
        <w:rPr>
          <w:rFonts w:ascii="Times New Roman"/>
          <w:b w:val="false"/>
          <w:i w:val="false"/>
          <w:color w:val="000000"/>
          <w:sz w:val="28"/>
        </w:rPr>
        <w:t xml:space="preserve">5.3. Льготы по уплате акцизов, предусмотренные </w:t>
      </w:r>
      <w:r>
        <w:br/>
      </w:r>
      <w:r>
        <w:rPr>
          <w:rFonts w:ascii="Times New Roman"/>
          <w:b w:val="false"/>
          <w:i w:val="false"/>
          <w:color w:val="000000"/>
          <w:sz w:val="28"/>
        </w:rPr>
        <w:t>
законодательством Республики Армения</w:t>
      </w:r>
    </w:p>
    <w:tbl>
      <w:tblPr>
        <w:tblW w:w="0" w:type="auto"/>
        <w:tblCellSpacing w:w="0" w:type="auto"/>
        <w:tblBorders>
          <w:top w:val="none"/>
          <w:left w:val="none"/>
          <w:bottom w:val="none"/>
          <w:right w:val="none"/>
          <w:insideH w:val="none"/>
          <w:insideV w:val="none"/>
        </w:tblBorders>
      </w:tblPr>
      <w:tblGrid>
        <w:gridCol w:w="12635"/>
        <w:gridCol w:w="1365"/>
      </w:tblGrid>
      <w:tr>
        <w:trPr>
          <w:trHeight w:val="150" w:hRule="atLeast"/>
        </w:trPr>
        <w:tc>
          <w:tcPr>
            <w:tcW w:w="1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от уплаты акцизов в отношении ввозимых и вывозимых товаров, помещаемых под таможенную процедуру иную, чем таможенная процедура выпуска для внутреннего потребления</w:t>
            </w:r>
          </w:p>
        </w:tc>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150" w:hRule="atLeast"/>
        </w:trPr>
        <w:tc>
          <w:tcPr>
            <w:tcW w:w="1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не поименованные в подразделах 1.2 и 5.3, льготы по уплате акцизов</w:t>
            </w:r>
          </w:p>
        </w:tc>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p>
        </w:tc>
      </w:tr>
    </w:tbl>
    <w:p>
      <w:pPr>
        <w:spacing w:after="0"/>
        <w:ind w:left="0"/>
        <w:jc w:val="both"/>
      </w:pPr>
      <w:r>
        <w:rPr>
          <w:rFonts w:ascii="Times New Roman"/>
          <w:b w:val="false"/>
          <w:i w:val="false"/>
          <w:color w:val="000000"/>
          <w:sz w:val="28"/>
        </w:rPr>
        <w:t xml:space="preserve">5.4. Льготы по уплате НДС, предусмотренные </w:t>
      </w:r>
      <w:r>
        <w:br/>
      </w:r>
      <w:r>
        <w:rPr>
          <w:rFonts w:ascii="Times New Roman"/>
          <w:b w:val="false"/>
          <w:i w:val="false"/>
          <w:color w:val="000000"/>
          <w:sz w:val="28"/>
        </w:rPr>
        <w:t>
законодательством Республики Армения</w:t>
      </w:r>
    </w:p>
    <w:tbl>
      <w:tblPr>
        <w:tblW w:w="0" w:type="auto"/>
        <w:tblCellSpacing w:w="0" w:type="auto"/>
        <w:tblBorders>
          <w:top w:val="none"/>
          <w:left w:val="none"/>
          <w:bottom w:val="none"/>
          <w:right w:val="none"/>
          <w:insideH w:val="none"/>
          <w:insideV w:val="none"/>
        </w:tblBorders>
      </w:tblPr>
      <w:tblGrid>
        <w:gridCol w:w="12635"/>
        <w:gridCol w:w="1365"/>
      </w:tblGrid>
      <w:tr>
        <w:trPr>
          <w:trHeight w:val="150" w:hRule="atLeast"/>
        </w:trPr>
        <w:tc>
          <w:tcPr>
            <w:tcW w:w="1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от уплаты НДС в отношении ввозимых в Республику Армения культурных ценностей</w:t>
            </w:r>
          </w:p>
        </w:tc>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КЦ</w:t>
            </w:r>
          </w:p>
        </w:tc>
      </w:tr>
      <w:tr>
        <w:trPr>
          <w:trHeight w:val="150" w:hRule="atLeast"/>
        </w:trPr>
        <w:tc>
          <w:tcPr>
            <w:tcW w:w="1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от уплаты НДС в отношении ввозимого в Республику Армения дизельного топлива</w:t>
            </w:r>
          </w:p>
        </w:tc>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w:t>
            </w:r>
          </w:p>
        </w:tc>
      </w:tr>
      <w:tr>
        <w:trPr>
          <w:trHeight w:val="150" w:hRule="atLeast"/>
        </w:trPr>
        <w:tc>
          <w:tcPr>
            <w:tcW w:w="1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от уплаты НДС в отношении товаров, поставляемых иностранными государствами, международными межправительственными (межгосударственными) организациями, международными, иностранными и действующими в Республике Армения общественными (включая благотворительные), религиозными и иными негосударственными организациями аналогичного характера, отдельными благотворителями в рамках программ гуманитарной помощи и благотворительных программ (деятельности)</w:t>
            </w:r>
          </w:p>
        </w:tc>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p>
        </w:tc>
      </w:tr>
      <w:tr>
        <w:trPr>
          <w:trHeight w:val="150" w:hRule="atLeast"/>
        </w:trPr>
        <w:tc>
          <w:tcPr>
            <w:tcW w:w="1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не поименованные в подразделах 1.3 и 5.4, льготы по уплате НДС</w:t>
            </w:r>
          </w:p>
        </w:tc>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w:t>
            </w:r>
          </w:p>
        </w:tc>
      </w:tr>
    </w:tbl>
    <w:p>
      <w:pPr>
        <w:spacing w:after="0"/>
        <w:ind w:left="0"/>
        <w:jc w:val="both"/>
      </w:pPr>
      <w:r>
        <w:rPr>
          <w:rFonts w:ascii="Times New Roman"/>
          <w:b w:val="false"/>
          <w:i w:val="false"/>
          <w:color w:val="000000"/>
          <w:sz w:val="28"/>
        </w:rPr>
        <w:t>5.5. Льготы по уплате экологического сбора, предусмотренные законодательством Республики Армения</w:t>
      </w:r>
    </w:p>
    <w:tbl>
      <w:tblPr>
        <w:tblW w:w="0" w:type="auto"/>
        <w:tblCellSpacing w:w="0" w:type="auto"/>
        <w:tblBorders>
          <w:top w:val="none"/>
          <w:left w:val="none"/>
          <w:bottom w:val="none"/>
          <w:right w:val="none"/>
          <w:insideH w:val="none"/>
          <w:insideV w:val="none"/>
        </w:tblBorders>
      </w:tblPr>
      <w:tblGrid>
        <w:gridCol w:w="12635"/>
        <w:gridCol w:w="1365"/>
      </w:tblGrid>
      <w:tr>
        <w:trPr>
          <w:trHeight w:val="150" w:hRule="atLeast"/>
        </w:trPr>
        <w:tc>
          <w:tcPr>
            <w:tcW w:w="1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Льгота по уплате экологического сбора</w:t>
            </w:r>
          </w:p>
        </w:tc>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w:t>
            </w:r>
          </w:p>
        </w:tc>
      </w:tr>
    </w:tbl>
    <w:bookmarkStart w:name="z45" w:id="8"/>
    <w:p>
      <w:pPr>
        <w:spacing w:after="0"/>
        <w:ind w:left="0"/>
        <w:jc w:val="both"/>
      </w:pPr>
      <w:r>
        <w:rPr>
          <w:rFonts w:ascii="Times New Roman"/>
          <w:b w:val="false"/>
          <w:i w:val="false"/>
          <w:color w:val="000000"/>
          <w:sz w:val="28"/>
        </w:rPr>
        <w:t>                                                              »;</w:t>
      </w:r>
      <w:r>
        <w:br/>
      </w:r>
      <w:r>
        <w:rPr>
          <w:rFonts w:ascii="Times New Roman"/>
          <w:b w:val="false"/>
          <w:i w:val="false"/>
          <w:color w:val="000000"/>
          <w:sz w:val="28"/>
        </w:rPr>
        <w:t>
      ж) в классификаторе видов документов и сведений, используемых при таможенном декларировании (</w:t>
      </w:r>
      <w:r>
        <w:rPr>
          <w:rFonts w:ascii="Times New Roman"/>
          <w:b w:val="false"/>
          <w:i w:val="false"/>
          <w:color w:val="000000"/>
          <w:sz w:val="28"/>
        </w:rPr>
        <w:t>Приложение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разделе 1:</w:t>
      </w:r>
      <w:r>
        <w:br/>
      </w:r>
      <w:r>
        <w:rPr>
          <w:rFonts w:ascii="Times New Roman"/>
          <w:b w:val="false"/>
          <w:i w:val="false"/>
          <w:color w:val="000000"/>
          <w:sz w:val="28"/>
        </w:rPr>
        <w:t>
</w:t>
      </w:r>
      <w:r>
        <w:rPr>
          <w:rFonts w:ascii="Times New Roman"/>
          <w:b w:val="false"/>
          <w:i w:val="false"/>
          <w:color w:val="000000"/>
          <w:sz w:val="28"/>
        </w:rPr>
        <w:t>
      в позиции с кодом 01011 слова «государств – членов Таможенного союза» заменить словами «государств – членов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в позициях с кодами 01017, 01018, 01021, 01022, 01041, 01042, 01061, 01062, 01071, 01072, 01073, 01074, 01081, 01082, 01083, 01085, 01091, 01093, 01101, 01102, 01111, 01112, 01121, 01122, 01131, 01132, 01143, 01151, 01152, 01153, 01154, 01161, 01162, 01163, 01202, 01203, 01204, 01206, 01209, 01291 и 01301 слова «таможенного союза»,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позицию с кодом 01191 изложить в следующей редакции:</w:t>
      </w:r>
      <w:r>
        <w:br/>
      </w:r>
      <w:r>
        <w:rPr>
          <w:rFonts w:ascii="Times New Roman"/>
          <w:b w:val="false"/>
          <w:i w:val="false"/>
          <w:color w:val="000000"/>
          <w:sz w:val="28"/>
        </w:rPr>
        <w:t>
«</w:t>
      </w:r>
    </w:p>
    <w:bookmarkEnd w:id="8"/>
    <w:tbl>
      <w:tblPr>
        <w:tblW w:w="0" w:type="auto"/>
        <w:tblCellSpacing w:w="0" w:type="auto"/>
        <w:tblBorders>
          <w:top w:val="none"/>
          <w:left w:val="none"/>
          <w:bottom w:val="none"/>
          <w:right w:val="none"/>
          <w:insideH w:val="none"/>
          <w:insideV w:val="none"/>
        </w:tblBorders>
      </w:tblPr>
      <w:tblGrid>
        <w:gridCol w:w="1364"/>
        <w:gridCol w:w="12636"/>
      </w:tblGrid>
      <w:tr>
        <w:trPr>
          <w:trHeight w:val="150" w:hRule="atLeast"/>
        </w:trPr>
        <w:tc>
          <w:tcPr>
            <w:tcW w:w="13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w:t>
            </w:r>
          </w:p>
        </w:tc>
        <w:tc>
          <w:tcPr>
            <w:tcW w:w="12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об оценке соответствия, предусмотренный техническими регламентами Евразийского экономического союза (техническими регламентами Таможенного союза), либо сертификат соответствия или декларация о соответствии, оформленные по единой форме, на продукцию (товары), включенную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 либо документ об оценке соответствия продукции (товара), предусмотренный законодательством государства – члена Евразийского экономического союза, на территории которого продукция (товар) помещается под таможенные процедуры</w:t>
            </w:r>
          </w:p>
        </w:tc>
      </w:tr>
    </w:tbl>
    <w:p>
      <w:pPr>
        <w:spacing w:after="0"/>
        <w:ind w:left="0"/>
        <w:jc w:val="both"/>
      </w:pPr>
      <w:r>
        <w:rPr>
          <w:rFonts w:ascii="Times New Roman"/>
          <w:b w:val="false"/>
          <w:i w:val="false"/>
          <w:color w:val="000000"/>
          <w:sz w:val="28"/>
        </w:rPr>
        <w:t>                                                                  »;</w:t>
      </w:r>
    </w:p>
    <w:bookmarkStart w:name="z50" w:id="9"/>
    <w:p>
      <w:pPr>
        <w:spacing w:after="0"/>
        <w:ind w:left="0"/>
        <w:jc w:val="both"/>
      </w:pPr>
      <w:r>
        <w:rPr>
          <w:rFonts w:ascii="Times New Roman"/>
          <w:b w:val="false"/>
          <w:i w:val="false"/>
          <w:color w:val="000000"/>
          <w:sz w:val="28"/>
        </w:rPr>
        <w:t>
      в позиции с кодом 03022 раздела 3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в разделе 5:</w:t>
      </w:r>
      <w:r>
        <w:br/>
      </w:r>
      <w:r>
        <w:rPr>
          <w:rFonts w:ascii="Times New Roman"/>
          <w:b w:val="false"/>
          <w:i w:val="false"/>
          <w:color w:val="000000"/>
          <w:sz w:val="28"/>
        </w:rPr>
        <w:t>
</w:t>
      </w:r>
      <w:r>
        <w:rPr>
          <w:rFonts w:ascii="Times New Roman"/>
          <w:b w:val="false"/>
          <w:i w:val="false"/>
          <w:color w:val="000000"/>
          <w:sz w:val="28"/>
        </w:rPr>
        <w:t>
      в наименовании и позициях с кодами 05013, 05031, 05996, 05997 и 05998 слова «ТН ВЭД ТС» заменить словами «ТН ВЭД ЕАЭС»;</w:t>
      </w:r>
      <w:r>
        <w:br/>
      </w:r>
      <w:r>
        <w:rPr>
          <w:rFonts w:ascii="Times New Roman"/>
          <w:b w:val="false"/>
          <w:i w:val="false"/>
          <w:color w:val="000000"/>
          <w:sz w:val="28"/>
        </w:rPr>
        <w:t>
</w:t>
      </w:r>
      <w:r>
        <w:rPr>
          <w:rFonts w:ascii="Times New Roman"/>
          <w:b w:val="false"/>
          <w:i w:val="false"/>
          <w:color w:val="000000"/>
          <w:sz w:val="28"/>
        </w:rPr>
        <w:t>
      в позициях с кодами 05022 и 05023 слова «ТН ВЭД ТС» заменить словами «ТН ВЭД ЕАЭС»,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в позиции с кодом 07035 раздела 7, позициях с кодами 08021, 08031 и 08032 раздела 8, позициях с кодами 09002, 09003, 09004, 09005, 09006, 09027, 09028, 09029 и 09030 раздела 9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в позиции с кодом 09015 раздела 9 слова «государств – членов Таможенного союза и международными договорами государств – членов Таможенного союза с иностранными государствами» заменить словами «в рамках Евразийского экономического союза и международными договорами Евразийского экономического союза с третьей стороной»;</w:t>
      </w:r>
      <w:r>
        <w:br/>
      </w:r>
      <w:r>
        <w:rPr>
          <w:rFonts w:ascii="Times New Roman"/>
          <w:b w:val="false"/>
          <w:i w:val="false"/>
          <w:color w:val="000000"/>
          <w:sz w:val="28"/>
        </w:rPr>
        <w:t>
</w:t>
      </w:r>
      <w:r>
        <w:rPr>
          <w:rFonts w:ascii="Times New Roman"/>
          <w:b w:val="false"/>
          <w:i w:val="false"/>
          <w:color w:val="000000"/>
          <w:sz w:val="28"/>
        </w:rPr>
        <w:t>
      в позиции с кодом 10014 раздела 10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з) в классификаторе видов налогов, сборов и иных платежей, взимание которых возложено на таможенные органы (</w:t>
      </w:r>
      <w:r>
        <w:rPr>
          <w:rFonts w:ascii="Times New Roman"/>
          <w:b w:val="false"/>
          <w:i w:val="false"/>
          <w:color w:val="000000"/>
          <w:sz w:val="28"/>
        </w:rPr>
        <w:t>Приложение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разделе 1:</w:t>
      </w:r>
      <w:r>
        <w:br/>
      </w:r>
      <w:r>
        <w:rPr>
          <w:rFonts w:ascii="Times New Roman"/>
          <w:b w:val="false"/>
          <w:i w:val="false"/>
          <w:color w:val="000000"/>
          <w:sz w:val="28"/>
        </w:rPr>
        <w:t>
</w:t>
      </w:r>
      <w:r>
        <w:rPr>
          <w:rFonts w:ascii="Times New Roman"/>
          <w:b w:val="false"/>
          <w:i w:val="false"/>
          <w:color w:val="000000"/>
          <w:sz w:val="28"/>
        </w:rPr>
        <w:t>
      в наименовании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позицию с кодом 1010 перед словами «за таможенное декларирование» дополнить словами «за таможенное оформление товаров,»;</w:t>
      </w:r>
      <w:r>
        <w:br/>
      </w:r>
      <w:r>
        <w:rPr>
          <w:rFonts w:ascii="Times New Roman"/>
          <w:b w:val="false"/>
          <w:i w:val="false"/>
          <w:color w:val="000000"/>
          <w:sz w:val="28"/>
        </w:rPr>
        <w:t>
</w:t>
      </w:r>
      <w:r>
        <w:rPr>
          <w:rFonts w:ascii="Times New Roman"/>
          <w:b w:val="false"/>
          <w:i w:val="false"/>
          <w:color w:val="000000"/>
          <w:sz w:val="28"/>
        </w:rPr>
        <w:t>
      в позиции с кодом 2010 слова «Соглашением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20.05.2010» заменить словами «Протоколом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r>
        <w:rPr>
          <w:rFonts w:ascii="Times New Roman"/>
          <w:b w:val="false"/>
          <w:i w:val="false"/>
          <w:color w:val="000000"/>
          <w:sz w:val="28"/>
        </w:rPr>
        <w:t>приложение № 5</w:t>
      </w:r>
      <w:r>
        <w:rPr>
          <w:rFonts w:ascii="Times New Roman"/>
          <w:b w:val="false"/>
          <w:i w:val="false"/>
          <w:color w:val="000000"/>
          <w:sz w:val="28"/>
        </w:rPr>
        <w:t xml:space="preserve"> к Договору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в позициях с кодами 2040, 2050 и 2060 слова «международными договорами государств – членов Таможенного союза» заменить словами «Протоколом о применении специальных защитных, антидемпинговых и компенсационных мер по отношению к третьим странам (</w:t>
      </w:r>
      <w:r>
        <w:rPr>
          <w:rFonts w:ascii="Times New Roman"/>
          <w:b w:val="false"/>
          <w:i w:val="false"/>
          <w:color w:val="000000"/>
          <w:sz w:val="28"/>
        </w:rPr>
        <w:t>приложение № 8</w:t>
      </w:r>
      <w:r>
        <w:rPr>
          <w:rFonts w:ascii="Times New Roman"/>
          <w:b w:val="false"/>
          <w:i w:val="false"/>
          <w:color w:val="000000"/>
          <w:sz w:val="28"/>
        </w:rPr>
        <w:t xml:space="preserve"> к Договору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в разделе 2:</w:t>
      </w:r>
      <w:r>
        <w:br/>
      </w:r>
      <w:r>
        <w:rPr>
          <w:rFonts w:ascii="Times New Roman"/>
          <w:b w:val="false"/>
          <w:i w:val="false"/>
          <w:color w:val="000000"/>
          <w:sz w:val="28"/>
        </w:rPr>
        <w:t>
</w:t>
      </w:r>
      <w:r>
        <w:rPr>
          <w:rFonts w:ascii="Times New Roman"/>
          <w:b w:val="false"/>
          <w:i w:val="false"/>
          <w:color w:val="000000"/>
          <w:sz w:val="28"/>
        </w:rPr>
        <w:t>
      в позициях с кодами 3010 и 3020 подраздела 2.3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в подразделе 2.5:</w:t>
      </w:r>
      <w:r>
        <w:br/>
      </w:r>
      <w:r>
        <w:rPr>
          <w:rFonts w:ascii="Times New Roman"/>
          <w:b w:val="false"/>
          <w:i w:val="false"/>
          <w:color w:val="000000"/>
          <w:sz w:val="28"/>
        </w:rPr>
        <w:t>
</w:t>
      </w:r>
      <w:r>
        <w:rPr>
          <w:rFonts w:ascii="Times New Roman"/>
          <w:b w:val="false"/>
          <w:i w:val="false"/>
          <w:color w:val="000000"/>
          <w:sz w:val="28"/>
        </w:rPr>
        <w:t>
      в пункте 2.5.1:</w:t>
      </w:r>
      <w:r>
        <w:br/>
      </w:r>
      <w:r>
        <w:rPr>
          <w:rFonts w:ascii="Times New Roman"/>
          <w:b w:val="false"/>
          <w:i w:val="false"/>
          <w:color w:val="000000"/>
          <w:sz w:val="28"/>
        </w:rPr>
        <w:t>
</w:t>
      </w:r>
      <w:r>
        <w:rPr>
          <w:rFonts w:ascii="Times New Roman"/>
          <w:b w:val="false"/>
          <w:i w:val="false"/>
          <w:color w:val="000000"/>
          <w:sz w:val="28"/>
        </w:rPr>
        <w:t>
      в позиции с кодом 2012 слова «Соглашением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20.05.2010» заменить словами «Протоколом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r>
        <w:rPr>
          <w:rFonts w:ascii="Times New Roman"/>
          <w:b w:val="false"/>
          <w:i w:val="false"/>
          <w:color w:val="000000"/>
          <w:sz w:val="28"/>
        </w:rPr>
        <w:t>приложение № 5</w:t>
      </w:r>
      <w:r>
        <w:rPr>
          <w:rFonts w:ascii="Times New Roman"/>
          <w:b w:val="false"/>
          <w:i w:val="false"/>
          <w:color w:val="000000"/>
          <w:sz w:val="28"/>
        </w:rPr>
        <w:t xml:space="preserve"> к Договору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в позициях с кодами 3012 и 3022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в пункте 2.5.2:</w:t>
      </w:r>
      <w:r>
        <w:br/>
      </w:r>
      <w:r>
        <w:rPr>
          <w:rFonts w:ascii="Times New Roman"/>
          <w:b w:val="false"/>
          <w:i w:val="false"/>
          <w:color w:val="000000"/>
          <w:sz w:val="28"/>
        </w:rPr>
        <w:t>
</w:t>
      </w:r>
      <w:r>
        <w:rPr>
          <w:rFonts w:ascii="Times New Roman"/>
          <w:b w:val="false"/>
          <w:i w:val="false"/>
          <w:color w:val="000000"/>
          <w:sz w:val="28"/>
        </w:rPr>
        <w:t>
      в позиции с кодом 2013 слова «Соглашением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20.05.2010» заменить словами «Протоколом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r>
        <w:rPr>
          <w:rFonts w:ascii="Times New Roman"/>
          <w:b w:val="false"/>
          <w:i w:val="false"/>
          <w:color w:val="000000"/>
          <w:sz w:val="28"/>
        </w:rPr>
        <w:t>приложение № 5</w:t>
      </w:r>
      <w:r>
        <w:rPr>
          <w:rFonts w:ascii="Times New Roman"/>
          <w:b w:val="false"/>
          <w:i w:val="false"/>
          <w:color w:val="000000"/>
          <w:sz w:val="28"/>
        </w:rPr>
        <w:t xml:space="preserve"> к Договору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в позициях с кодами 3013 и 3023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в наименовании подраздела 3.4 раздела 3 и позициях с кодами 4310, 4320, 4330, 4340, 4350, 4360, 4370, 4380, 4390, 4400, 4410, 4420, 4430, 4440, 4450, 4460, 4470 и 4480 подраздела 4.3 раздела 4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дополнить разделом 5 следующего содержания:</w:t>
      </w:r>
    </w:p>
    <w:bookmarkEnd w:id="9"/>
    <w:p>
      <w:pPr>
        <w:spacing w:after="0"/>
        <w:ind w:left="0"/>
        <w:jc w:val="both"/>
      </w:pPr>
      <w:r>
        <w:rPr>
          <w:rFonts w:ascii="Times New Roman"/>
          <w:b w:val="false"/>
          <w:i w:val="false"/>
          <w:color w:val="000000"/>
          <w:sz w:val="28"/>
        </w:rPr>
        <w:t xml:space="preserve">«5. Виды платежей, уплата которых предусмотрена </w:t>
      </w:r>
      <w:r>
        <w:br/>
      </w:r>
      <w:r>
        <w:rPr>
          <w:rFonts w:ascii="Times New Roman"/>
          <w:b w:val="false"/>
          <w:i w:val="false"/>
          <w:color w:val="000000"/>
          <w:sz w:val="28"/>
        </w:rPr>
        <w:t>
законодательством Республики Армения</w:t>
      </w:r>
    </w:p>
    <w:p>
      <w:pPr>
        <w:spacing w:after="0"/>
        <w:ind w:left="0"/>
        <w:jc w:val="both"/>
      </w:pPr>
      <w:r>
        <w:rPr>
          <w:rFonts w:ascii="Times New Roman"/>
          <w:b w:val="false"/>
          <w:i w:val="false"/>
          <w:color w:val="000000"/>
          <w:sz w:val="28"/>
        </w:rPr>
        <w:t>5.1. Таможенные сборы</w:t>
      </w:r>
    </w:p>
    <w:tbl>
      <w:tblPr>
        <w:tblW w:w="0" w:type="auto"/>
        <w:tblCellSpacing w:w="0" w:type="auto"/>
        <w:tblBorders>
          <w:top w:val="none"/>
          <w:left w:val="none"/>
          <w:bottom w:val="none"/>
          <w:right w:val="none"/>
          <w:insideH w:val="none"/>
          <w:insideV w:val="none"/>
        </w:tblBorders>
      </w:tblPr>
      <w:tblGrid>
        <w:gridCol w:w="11996"/>
        <w:gridCol w:w="2004"/>
      </w:tblGrid>
      <w:tr>
        <w:trPr>
          <w:trHeight w:val="150" w:hRule="atLeast"/>
        </w:trPr>
        <w:tc>
          <w:tcPr>
            <w:tcW w:w="11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 сборы за временное хранение</w:t>
            </w:r>
          </w:p>
        </w:tc>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150" w:hRule="atLeast"/>
        </w:trPr>
        <w:tc>
          <w:tcPr>
            <w:tcW w:w="11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 сборы за предоставление таможенным органом предварительного решения о классификации товаров</w:t>
            </w:r>
          </w:p>
        </w:tc>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150" w:hRule="atLeast"/>
        </w:trPr>
        <w:tc>
          <w:tcPr>
            <w:tcW w:w="11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 сборы за таможенный контроль в отношении товаров, перемещаемых по трубопроводам и линиям электропередач</w:t>
            </w:r>
          </w:p>
        </w:tc>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150" w:hRule="atLeast"/>
        </w:trPr>
        <w:tc>
          <w:tcPr>
            <w:tcW w:w="11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таможенные сборы</w:t>
            </w:r>
          </w:p>
        </w:tc>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15Х0 &lt;1&gt;</w:t>
            </w:r>
          </w:p>
        </w:tc>
      </w:tr>
    </w:tbl>
    <w:p>
      <w:pPr>
        <w:spacing w:after="0"/>
        <w:ind w:left="0"/>
        <w:jc w:val="both"/>
      </w:pPr>
      <w:r>
        <w:rPr>
          <w:rFonts w:ascii="Times New Roman"/>
          <w:b w:val="false"/>
          <w:i w:val="false"/>
          <w:color w:val="000000"/>
          <w:sz w:val="28"/>
        </w:rPr>
        <w:t>5.2. Акцизы</w:t>
      </w:r>
    </w:p>
    <w:tbl>
      <w:tblPr>
        <w:tblW w:w="0" w:type="auto"/>
        <w:tblCellSpacing w:w="0" w:type="auto"/>
        <w:tblBorders>
          <w:top w:val="none"/>
          <w:left w:val="none"/>
          <w:bottom w:val="none"/>
          <w:right w:val="none"/>
          <w:insideH w:val="none"/>
          <w:insideV w:val="none"/>
        </w:tblBorders>
      </w:tblPr>
      <w:tblGrid>
        <w:gridCol w:w="11996"/>
        <w:gridCol w:w="2004"/>
      </w:tblGrid>
      <w:tr>
        <w:trPr>
          <w:trHeight w:val="150" w:hRule="atLeast"/>
        </w:trPr>
        <w:tc>
          <w:tcPr>
            <w:tcW w:w="11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 на этиловый спирт</w:t>
            </w:r>
          </w:p>
        </w:tc>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150" w:hRule="atLeast"/>
        </w:trPr>
        <w:tc>
          <w:tcPr>
            <w:tcW w:w="11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 на спиртосодержащую продукцию</w:t>
            </w:r>
          </w:p>
        </w:tc>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150" w:hRule="atLeast"/>
        </w:trPr>
        <w:tc>
          <w:tcPr>
            <w:tcW w:w="11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 на вина</w:t>
            </w:r>
          </w:p>
        </w:tc>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150" w:hRule="atLeast"/>
        </w:trPr>
        <w:tc>
          <w:tcPr>
            <w:tcW w:w="11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 на пиво</w:t>
            </w:r>
          </w:p>
        </w:tc>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150" w:hRule="atLeast"/>
        </w:trPr>
        <w:tc>
          <w:tcPr>
            <w:tcW w:w="11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 на заменители табака</w:t>
            </w:r>
          </w:p>
        </w:tc>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150" w:hRule="atLeast"/>
        </w:trPr>
        <w:tc>
          <w:tcPr>
            <w:tcW w:w="11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на табачные изделия </w:t>
            </w:r>
          </w:p>
        </w:tc>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150" w:hRule="atLeast"/>
        </w:trPr>
        <w:tc>
          <w:tcPr>
            <w:tcW w:w="11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 на бензин</w:t>
            </w:r>
          </w:p>
        </w:tc>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150" w:hRule="atLeast"/>
        </w:trPr>
        <w:tc>
          <w:tcPr>
            <w:tcW w:w="11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 на дизельное топливо</w:t>
            </w:r>
          </w:p>
        </w:tc>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150" w:hRule="atLeast"/>
        </w:trPr>
        <w:tc>
          <w:tcPr>
            <w:tcW w:w="11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 на смазочные материалы</w:t>
            </w:r>
          </w:p>
        </w:tc>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150" w:hRule="atLeast"/>
        </w:trPr>
        <w:tc>
          <w:tcPr>
            <w:tcW w:w="11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 на нефть и продукты из нефти</w:t>
            </w:r>
          </w:p>
        </w:tc>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150" w:hRule="atLeast"/>
        </w:trPr>
        <w:tc>
          <w:tcPr>
            <w:tcW w:w="11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 на нефтяные газы и газообразные углеводороды (кроме натурального газа)</w:t>
            </w:r>
          </w:p>
        </w:tc>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150" w:hRule="atLeast"/>
        </w:trPr>
        <w:tc>
          <w:tcPr>
            <w:tcW w:w="11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акцизы</w:t>
            </w:r>
          </w:p>
        </w:tc>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46Х0&lt;1&gt;</w:t>
            </w:r>
          </w:p>
        </w:tc>
      </w:tr>
    </w:tbl>
    <w:p>
      <w:pPr>
        <w:spacing w:after="0"/>
        <w:ind w:left="0"/>
        <w:jc w:val="both"/>
      </w:pPr>
      <w:r>
        <w:rPr>
          <w:rFonts w:ascii="Times New Roman"/>
          <w:b w:val="false"/>
          <w:i w:val="false"/>
          <w:color w:val="000000"/>
          <w:sz w:val="28"/>
        </w:rPr>
        <w:t xml:space="preserve">5.3. Иные виды платежей, взимание которых возложено </w:t>
      </w:r>
      <w:r>
        <w:br/>
      </w:r>
      <w:r>
        <w:rPr>
          <w:rFonts w:ascii="Times New Roman"/>
          <w:b w:val="false"/>
          <w:i w:val="false"/>
          <w:color w:val="000000"/>
          <w:sz w:val="28"/>
        </w:rPr>
        <w:t>
на таможенные органы</w:t>
      </w:r>
    </w:p>
    <w:tbl>
      <w:tblPr>
        <w:tblW w:w="0" w:type="auto"/>
        <w:tblCellSpacing w:w="0" w:type="auto"/>
        <w:tblBorders>
          <w:top w:val="none"/>
          <w:left w:val="none"/>
          <w:bottom w:val="none"/>
          <w:right w:val="none"/>
          <w:insideH w:val="none"/>
          <w:insideV w:val="none"/>
        </w:tblBorders>
      </w:tblPr>
      <w:tblGrid>
        <w:gridCol w:w="12219"/>
        <w:gridCol w:w="1781"/>
      </w:tblGrid>
      <w:tr>
        <w:trPr>
          <w:trHeight w:val="150" w:hRule="atLeast"/>
        </w:trPr>
        <w:tc>
          <w:tcPr>
            <w:tcW w:w="12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Экологический сбор за импорт товаров, наносящих вред окружающей среде</w:t>
            </w:r>
          </w:p>
        </w:tc>
        <w:tc>
          <w:tcPr>
            <w:tcW w:w="1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r>
      <w:tr>
        <w:trPr>
          <w:trHeight w:val="150" w:hRule="atLeast"/>
        </w:trPr>
        <w:tc>
          <w:tcPr>
            <w:tcW w:w="12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Экологический сбор за выброс вредных веществ</w:t>
            </w:r>
          </w:p>
        </w:tc>
        <w:tc>
          <w:tcPr>
            <w:tcW w:w="1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150" w:hRule="atLeast"/>
        </w:trPr>
        <w:tc>
          <w:tcPr>
            <w:tcW w:w="12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Дорожные платежи</w:t>
            </w:r>
          </w:p>
        </w:tc>
        <w:tc>
          <w:tcPr>
            <w:tcW w:w="1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150" w:hRule="atLeast"/>
        </w:trPr>
        <w:tc>
          <w:tcPr>
            <w:tcW w:w="12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за экспорт</w:t>
            </w:r>
          </w:p>
        </w:tc>
        <w:tc>
          <w:tcPr>
            <w:tcW w:w="1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r>
    </w:tbl>
    <w:p>
      <w:pPr>
        <w:spacing w:after="0"/>
        <w:ind w:left="0"/>
        <w:jc w:val="both"/>
      </w:pPr>
      <w:r>
        <w:rPr>
          <w:rFonts w:ascii="Times New Roman"/>
          <w:b w:val="false"/>
          <w:i w:val="false"/>
          <w:color w:val="000000"/>
          <w:sz w:val="28"/>
        </w:rPr>
        <w:t>                                                             »;</w:t>
      </w:r>
    </w:p>
    <w:bookmarkStart w:name="z74" w:id="10"/>
    <w:p>
      <w:pPr>
        <w:spacing w:after="0"/>
        <w:ind w:left="0"/>
        <w:jc w:val="both"/>
      </w:pPr>
      <w:r>
        <w:rPr>
          <w:rFonts w:ascii="Times New Roman"/>
          <w:b w:val="false"/>
          <w:i w:val="false"/>
          <w:color w:val="000000"/>
          <w:sz w:val="28"/>
        </w:rPr>
        <w:t>
      в сноске 4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и) в позиции с кодом УН классификатора особенностей уплаты таможенных и иных платежей, взимание которых возложено на таможенные органы (</w:t>
      </w:r>
      <w:r>
        <w:rPr>
          <w:rFonts w:ascii="Times New Roman"/>
          <w:b w:val="false"/>
          <w:i w:val="false"/>
          <w:color w:val="000000"/>
          <w:sz w:val="28"/>
        </w:rPr>
        <w:t>Приложение 10</w:t>
      </w:r>
      <w:r>
        <w:rPr>
          <w:rFonts w:ascii="Times New Roman"/>
          <w:b w:val="false"/>
          <w:i w:val="false"/>
          <w:color w:val="000000"/>
          <w:sz w:val="28"/>
        </w:rPr>
        <w:t>), слова «актами таможенного законодательства Таможенного союза» заменить словами «международными договорами и актами, составляющими право Евразийского экономического союза,», слова «государств – членов таможенного союза» заменить словами «государств – членов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к) в позиции с кодом ВЗ классификатора способов уплаты таможенных и иных платежей, взимание которых возложено на таможенные органы (</w:t>
      </w:r>
      <w:r>
        <w:rPr>
          <w:rFonts w:ascii="Times New Roman"/>
          <w:b w:val="false"/>
          <w:i w:val="false"/>
          <w:color w:val="000000"/>
          <w:sz w:val="28"/>
        </w:rPr>
        <w:t>Приложение 11</w:t>
      </w:r>
      <w:r>
        <w:rPr>
          <w:rFonts w:ascii="Times New Roman"/>
          <w:b w:val="false"/>
          <w:i w:val="false"/>
          <w:color w:val="000000"/>
          <w:sz w:val="28"/>
        </w:rPr>
        <w:t>),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л) в позиции с кодом 92 классификатора решений, принимаемых таможенными органами (</w:t>
      </w:r>
      <w:r>
        <w:rPr>
          <w:rFonts w:ascii="Times New Roman"/>
          <w:b w:val="false"/>
          <w:i w:val="false"/>
          <w:color w:val="000000"/>
          <w:sz w:val="28"/>
        </w:rPr>
        <w:t>Приложение 14</w:t>
      </w:r>
      <w:r>
        <w:rPr>
          <w:rFonts w:ascii="Times New Roman"/>
          <w:b w:val="false"/>
          <w:i w:val="false"/>
          <w:color w:val="000000"/>
          <w:sz w:val="28"/>
        </w:rPr>
        <w:t>),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м) в позиции с кодом D классификатора видов специальных упрощений (</w:t>
      </w:r>
      <w:r>
        <w:rPr>
          <w:rFonts w:ascii="Times New Roman"/>
          <w:b w:val="false"/>
          <w:i w:val="false"/>
          <w:color w:val="000000"/>
          <w:sz w:val="28"/>
        </w:rPr>
        <w:t>Приложение 16</w:t>
      </w:r>
      <w:r>
        <w:rPr>
          <w:rFonts w:ascii="Times New Roman"/>
          <w:b w:val="false"/>
          <w:i w:val="false"/>
          <w:color w:val="000000"/>
          <w:sz w:val="28"/>
        </w:rPr>
        <w:t>) слова «таможенным законодательством Таможенного союза» заменить словами «регулирующими таможенные правоотношения международными договорами и актами, составляющими право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н) в классификаторе мер обеспечения соблюдения таможенного транзита (</w:t>
      </w:r>
      <w:r>
        <w:rPr>
          <w:rFonts w:ascii="Times New Roman"/>
          <w:b w:val="false"/>
          <w:i w:val="false"/>
          <w:color w:val="000000"/>
          <w:sz w:val="28"/>
        </w:rPr>
        <w:t>Приложение 18</w:t>
      </w:r>
      <w:r>
        <w:rPr>
          <w:rFonts w:ascii="Times New Roman"/>
          <w:b w:val="false"/>
          <w:i w:val="false"/>
          <w:color w:val="000000"/>
          <w:sz w:val="28"/>
        </w:rPr>
        <w:t>) в сноске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о) в позиции с кодом 10 классификатора способов обеспечения уплаты таможенных пошлин, налогов (</w:t>
      </w:r>
      <w:r>
        <w:rPr>
          <w:rFonts w:ascii="Times New Roman"/>
          <w:b w:val="false"/>
          <w:i w:val="false"/>
          <w:color w:val="000000"/>
          <w:sz w:val="28"/>
        </w:rPr>
        <w:t>Приложение 19</w:t>
      </w:r>
      <w:r>
        <w:rPr>
          <w:rFonts w:ascii="Times New Roman"/>
          <w:b w:val="false"/>
          <w:i w:val="false"/>
          <w:color w:val="000000"/>
          <w:sz w:val="28"/>
        </w:rPr>
        <w:t>)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п) в позициях с кодами ЭК и ТС классификатора видов перемещения товаров в соответствии с таможенной процедурой таможенного транзита (</w:t>
      </w:r>
      <w:r>
        <w:rPr>
          <w:rFonts w:ascii="Times New Roman"/>
          <w:b w:val="false"/>
          <w:i w:val="false"/>
          <w:color w:val="000000"/>
          <w:sz w:val="28"/>
        </w:rPr>
        <w:t>Приложение 20</w:t>
      </w:r>
      <w:r>
        <w:rPr>
          <w:rFonts w:ascii="Times New Roman"/>
          <w:b w:val="false"/>
          <w:i w:val="false"/>
          <w:color w:val="000000"/>
          <w:sz w:val="28"/>
        </w:rPr>
        <w:t>) слова «Таможенного союза»,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р) в наименовании раздела 1 классификатора мест нахождения товаров (</w:t>
      </w:r>
      <w:r>
        <w:rPr>
          <w:rFonts w:ascii="Times New Roman"/>
          <w:b w:val="false"/>
          <w:i w:val="false"/>
          <w:color w:val="000000"/>
          <w:sz w:val="28"/>
        </w:rPr>
        <w:t>Приложение 24</w:t>
      </w:r>
      <w:r>
        <w:rPr>
          <w:rFonts w:ascii="Times New Roman"/>
          <w:b w:val="false"/>
          <w:i w:val="false"/>
          <w:color w:val="000000"/>
          <w:sz w:val="28"/>
        </w:rPr>
        <w:t>)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с) дополнить приложениями № 25 и 26 следующего содержания: </w:t>
      </w:r>
    </w:p>
    <w:bookmarkEnd w:id="10"/>
    <w:bookmarkStart w:name="z84" w:id="11"/>
    <w:p>
      <w:pPr>
        <w:spacing w:after="0"/>
        <w:ind w:left="0"/>
        <w:jc w:val="both"/>
      </w:pPr>
      <w:r>
        <w:rPr>
          <w:rFonts w:ascii="Times New Roman"/>
          <w:b w:val="false"/>
          <w:i w:val="false"/>
          <w:color w:val="000000"/>
          <w:sz w:val="28"/>
        </w:rPr>
        <w:t xml:space="preserve">
«ПРИЛОЖЕНИЕ № 25         </w:t>
      </w:r>
    </w:p>
    <w:bookmarkEnd w:id="11"/>
    <w:p>
      <w:pPr>
        <w:spacing w:after="0"/>
        <w:ind w:left="0"/>
        <w:jc w:val="both"/>
      </w:pPr>
      <w:r>
        <w:rPr>
          <w:rFonts w:ascii="Times New Roman"/>
          <w:b w:val="false"/>
          <w:i w:val="false"/>
          <w:color w:val="000000"/>
          <w:sz w:val="28"/>
        </w:rPr>
        <w:t>к Решению Комиссии Таможенного союза</w:t>
      </w:r>
      <w:r>
        <w:br/>
      </w:r>
      <w:r>
        <w:rPr>
          <w:rFonts w:ascii="Times New Roman"/>
          <w:b w:val="false"/>
          <w:i w:val="false"/>
          <w:color w:val="000000"/>
          <w:sz w:val="28"/>
        </w:rPr>
        <w:t xml:space="preserve">
от 20 сентября 2010 г. № 378   </w:t>
      </w:r>
    </w:p>
    <w:bookmarkStart w:name="z85" w:id="12"/>
    <w:p>
      <w:pPr>
        <w:spacing w:after="0"/>
        <w:ind w:left="0"/>
        <w:jc w:val="both"/>
      </w:pPr>
      <w:r>
        <w:rPr>
          <w:rFonts w:ascii="Times New Roman"/>
          <w:b w:val="false"/>
          <w:i w:val="false"/>
          <w:color w:val="000000"/>
          <w:sz w:val="28"/>
        </w:rPr>
        <w:t>
</w:t>
      </w:r>
      <w:r>
        <w:rPr>
          <w:rFonts w:ascii="Times New Roman"/>
          <w:b/>
          <w:i w:val="false"/>
          <w:color w:val="000000"/>
          <w:sz w:val="28"/>
        </w:rPr>
        <w:t>                        КЛАССИФИКАТОР</w:t>
      </w:r>
      <w:r>
        <w:br/>
      </w:r>
      <w:r>
        <w:rPr>
          <w:rFonts w:ascii="Times New Roman"/>
          <w:b w:val="false"/>
          <w:i w:val="false"/>
          <w:color w:val="000000"/>
          <w:sz w:val="28"/>
        </w:rPr>
        <w:t>
</w:t>
      </w:r>
      <w:r>
        <w:rPr>
          <w:rFonts w:ascii="Times New Roman"/>
          <w:b/>
          <w:i w:val="false"/>
          <w:color w:val="000000"/>
          <w:sz w:val="28"/>
        </w:rPr>
        <w:t>      типов транспортных средств международной перевозки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13017"/>
      </w:tblGrid>
      <w:tr>
        <w:trPr>
          <w:trHeight w:val="57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bl>
    <w:tbl>
      <w:tblPr>
        <w:tblW w:w="0" w:type="auto"/>
        <w:tblCellSpacing w:w="0" w:type="auto"/>
        <w:tblBorders>
          <w:top w:val="none"/>
          <w:left w:val="none"/>
          <w:bottom w:val="none"/>
          <w:right w:val="none"/>
          <w:insideH w:val="none"/>
          <w:insideV w:val="none"/>
        </w:tblBorders>
      </w:tblPr>
      <w:tblGrid>
        <w:gridCol w:w="972"/>
        <w:gridCol w:w="13028"/>
      </w:tblGrid>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Водное судно</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Паровоз</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Электропоезд</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Дизель-поезд</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Путевая машина</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пассажирский</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багажный</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изотермический</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Цистерна</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Полувагон</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Платформа</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вагон</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Легковой автомобиль общего назначения</w:t>
            </w:r>
            <w:r>
              <w:rPr>
                <w:rFonts w:ascii="Times New Roman"/>
                <w:b w:val="false"/>
                <w:i w:val="false"/>
                <w:color w:val="000000"/>
                <w:vertAlign w:val="superscript"/>
              </w:rPr>
              <w:t>1, 2</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легковой автомобиль</w:t>
            </w:r>
            <w:r>
              <w:rPr>
                <w:rFonts w:ascii="Times New Roman"/>
                <w:b w:val="false"/>
                <w:i w:val="false"/>
                <w:color w:val="000000"/>
                <w:vertAlign w:val="superscript"/>
              </w:rPr>
              <w:t>1, 3</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Грузовой автомобиль общего назначения</w:t>
            </w:r>
            <w:r>
              <w:rPr>
                <w:rFonts w:ascii="Times New Roman"/>
                <w:b w:val="false"/>
                <w:i w:val="false"/>
                <w:color w:val="000000"/>
                <w:vertAlign w:val="superscript"/>
              </w:rPr>
              <w:t>4, 5</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грузовой автомобиль</w:t>
            </w:r>
            <w:r>
              <w:rPr>
                <w:rFonts w:ascii="Times New Roman"/>
                <w:b w:val="false"/>
                <w:i w:val="false"/>
                <w:color w:val="000000"/>
                <w:vertAlign w:val="superscript"/>
              </w:rPr>
              <w:t>4, 6</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Грузопассажирский автомобиль</w:t>
            </w:r>
            <w:r>
              <w:rPr>
                <w:rFonts w:ascii="Times New Roman"/>
                <w:b w:val="false"/>
                <w:i w:val="false"/>
                <w:color w:val="000000"/>
                <w:vertAlign w:val="superscript"/>
              </w:rPr>
              <w:t>4, 7</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Автомобиль-тягач</w:t>
            </w:r>
            <w:r>
              <w:rPr>
                <w:rFonts w:ascii="Times New Roman"/>
                <w:b w:val="false"/>
                <w:i w:val="false"/>
                <w:color w:val="000000"/>
                <w:vertAlign w:val="superscript"/>
              </w:rPr>
              <w:t>8</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Седельный тягач</w:t>
            </w:r>
            <w:r>
              <w:rPr>
                <w:rFonts w:ascii="Times New Roman"/>
                <w:b w:val="false"/>
                <w:i w:val="false"/>
                <w:color w:val="000000"/>
                <w:vertAlign w:val="superscript"/>
              </w:rPr>
              <w:t>9</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Пассажирский прицеп, технически допустимая максимальная масса которого не более 0,75 т</w:t>
            </w:r>
            <w:r>
              <w:rPr>
                <w:rFonts w:ascii="Times New Roman"/>
                <w:b w:val="false"/>
                <w:i w:val="false"/>
                <w:color w:val="000000"/>
                <w:vertAlign w:val="superscript"/>
              </w:rPr>
              <w:t>10, 11, 24</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Пассажирский прицеп, технически допустимая максимальная масса которого свыше 0,75 т, но не более 3,5 т</w:t>
            </w:r>
            <w:r>
              <w:rPr>
                <w:rFonts w:ascii="Times New Roman"/>
                <w:b w:val="false"/>
                <w:i w:val="false"/>
                <w:color w:val="000000"/>
                <w:vertAlign w:val="superscript"/>
              </w:rPr>
              <w:t>10, 11, 24</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Пассажирский прицеп, технически допустимая максимальная масса которого свыше 3,5 т, но не более 10 т</w:t>
            </w:r>
            <w:r>
              <w:rPr>
                <w:rFonts w:ascii="Times New Roman"/>
                <w:b w:val="false"/>
                <w:i w:val="false"/>
                <w:color w:val="000000"/>
                <w:vertAlign w:val="superscript"/>
              </w:rPr>
              <w:t>10, 11, 24</w:t>
            </w:r>
          </w:p>
        </w:tc>
      </w:tr>
      <w:tr>
        <w:trPr>
          <w:trHeight w:val="420"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Пассажирский прицеп, технически допустимая максимальная масса которого более 10 т</w:t>
            </w:r>
            <w:r>
              <w:rPr>
                <w:rFonts w:ascii="Times New Roman"/>
                <w:b w:val="false"/>
                <w:i w:val="false"/>
                <w:color w:val="000000"/>
                <w:vertAlign w:val="superscript"/>
              </w:rPr>
              <w:t>10, 11, 24</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Грузовой прицеп общего назначения</w:t>
            </w:r>
            <w:r>
              <w:rPr>
                <w:rFonts w:ascii="Times New Roman"/>
                <w:b w:val="false"/>
                <w:i w:val="false"/>
                <w:color w:val="000000"/>
                <w:vertAlign w:val="superscript"/>
              </w:rPr>
              <w:t>10, 12</w:t>
            </w:r>
          </w:p>
        </w:tc>
      </w:tr>
      <w:tr>
        <w:trPr>
          <w:trHeight w:val="43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прицеп</w:t>
            </w:r>
            <w:r>
              <w:rPr>
                <w:rFonts w:ascii="Times New Roman"/>
                <w:b w:val="false"/>
                <w:i w:val="false"/>
                <w:color w:val="000000"/>
                <w:vertAlign w:val="superscript"/>
              </w:rPr>
              <w:t>10, 13</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Караван</w:t>
            </w:r>
            <w:r>
              <w:rPr>
                <w:rFonts w:ascii="Times New Roman"/>
                <w:b w:val="false"/>
                <w:i w:val="false"/>
                <w:color w:val="000000"/>
                <w:vertAlign w:val="superscript"/>
              </w:rPr>
              <w:t>10, 14</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Пассажирский полуприцеп, технически допустимая максимальная масса которого не более 0,75 т</w:t>
            </w:r>
            <w:r>
              <w:rPr>
                <w:rFonts w:ascii="Times New Roman"/>
                <w:b w:val="false"/>
                <w:i w:val="false"/>
                <w:color w:val="000000"/>
                <w:vertAlign w:val="superscript"/>
              </w:rPr>
              <w:t>15, 16, 24</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Пассажирский полуприцеп, технически допустимая максимальная масса которого свыше 0,75 т, но не более 3,5 т</w:t>
            </w:r>
            <w:r>
              <w:rPr>
                <w:rFonts w:ascii="Times New Roman"/>
                <w:b w:val="false"/>
                <w:i w:val="false"/>
                <w:color w:val="000000"/>
                <w:vertAlign w:val="superscript"/>
              </w:rPr>
              <w:t>15, 16, 24</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Пассажирский полуприцеп, технически допустимая максимальная масса которого свыше 3,5 т, но не более 10 т</w:t>
            </w:r>
            <w:r>
              <w:rPr>
                <w:rFonts w:ascii="Times New Roman"/>
                <w:b w:val="false"/>
                <w:i w:val="false"/>
                <w:color w:val="000000"/>
                <w:vertAlign w:val="superscript"/>
              </w:rPr>
              <w:t>15, 16, 24</w:t>
            </w:r>
          </w:p>
        </w:tc>
      </w:tr>
      <w:tr>
        <w:trPr>
          <w:trHeight w:val="810"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Пассажирский полуприцеп, технически допустимая максимальная масса которого более 10 т</w:t>
            </w:r>
            <w:r>
              <w:rPr>
                <w:rFonts w:ascii="Times New Roman"/>
                <w:b w:val="false"/>
                <w:i w:val="false"/>
                <w:color w:val="000000"/>
                <w:vertAlign w:val="superscript"/>
              </w:rPr>
              <w:t>15, 16, 24</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Грузовой полуприцеп общего назначения</w:t>
            </w:r>
            <w:r>
              <w:rPr>
                <w:rFonts w:ascii="Times New Roman"/>
                <w:b w:val="false"/>
                <w:i w:val="false"/>
                <w:color w:val="000000"/>
                <w:vertAlign w:val="superscript"/>
              </w:rPr>
              <w:t>15, 17</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полуприцеп</w:t>
            </w:r>
            <w:r>
              <w:rPr>
                <w:rFonts w:ascii="Times New Roman"/>
                <w:b w:val="false"/>
                <w:i w:val="false"/>
                <w:color w:val="000000"/>
                <w:vertAlign w:val="superscript"/>
              </w:rPr>
              <w:t>15, 18</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общего назначения</w:t>
            </w:r>
            <w:r>
              <w:rPr>
                <w:rFonts w:ascii="Times New Roman"/>
                <w:b w:val="false"/>
                <w:i w:val="false"/>
                <w:color w:val="000000"/>
                <w:vertAlign w:val="superscript"/>
              </w:rPr>
              <w:t>19, 20</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автобус</w:t>
            </w:r>
            <w:r>
              <w:rPr>
                <w:rFonts w:ascii="Times New Roman"/>
                <w:b w:val="false"/>
                <w:i w:val="false"/>
                <w:color w:val="000000"/>
                <w:vertAlign w:val="superscript"/>
              </w:rPr>
              <w:t>19, 21</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Сочлененный автобус</w:t>
            </w:r>
            <w:r>
              <w:rPr>
                <w:rFonts w:ascii="Times New Roman"/>
                <w:b w:val="false"/>
                <w:i w:val="false"/>
                <w:color w:val="000000"/>
                <w:vertAlign w:val="superscript"/>
              </w:rPr>
              <w:t>19, 22</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Микроавтобус</w:t>
            </w:r>
            <w:r>
              <w:rPr>
                <w:rFonts w:ascii="Times New Roman"/>
                <w:b w:val="false"/>
                <w:i w:val="false"/>
                <w:color w:val="000000"/>
                <w:vertAlign w:val="superscript"/>
              </w:rPr>
              <w:t>19, 23</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Воздушное судно</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r>
      <w:tr>
        <w:trPr>
          <w:trHeight w:val="465"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транспортное средство</w:t>
            </w:r>
          </w:p>
        </w:tc>
      </w:tr>
    </w:tbl>
    <w:p>
      <w:pPr>
        <w:spacing w:after="0"/>
        <w:ind w:left="0"/>
        <w:jc w:val="both"/>
      </w:pPr>
      <w:r>
        <w:rPr>
          <w:rFonts w:ascii="Times New Roman"/>
          <w:b w:val="false"/>
          <w:i w:val="false"/>
          <w:color w:val="000000"/>
          <w:sz w:val="28"/>
        </w:rPr>
        <w:t>___________</w:t>
      </w:r>
      <w:r>
        <w:br/>
      </w:r>
      <w:r>
        <w:rPr>
          <w:rFonts w:ascii="Times New Roman"/>
          <w:b w:val="false"/>
          <w:i w:val="false"/>
          <w:color w:val="000000"/>
          <w:sz w:val="28"/>
        </w:rPr>
        <w:t>
</w:t>
      </w:r>
      <w:r>
        <w:rPr>
          <w:rFonts w:ascii="Times New Roman"/>
          <w:b w:val="false"/>
          <w:i w:val="false"/>
          <w:color w:val="000000"/>
          <w:vertAlign w:val="superscript"/>
        </w:rPr>
        <w:t>1 </w:t>
      </w:r>
      <w:r>
        <w:rPr>
          <w:rFonts w:ascii="Times New Roman"/>
          <w:b w:val="false"/>
          <w:i w:val="false"/>
          <w:color w:val="000000"/>
          <w:sz w:val="28"/>
        </w:rPr>
        <w:t>Легковой автомобиль – пассажирский автомобиль с числом мест для сидения не более 9,</w:t>
      </w:r>
      <w:r>
        <w:br/>
      </w:r>
      <w:r>
        <w:rPr>
          <w:rFonts w:ascii="Times New Roman"/>
          <w:b w:val="false"/>
          <w:i w:val="false"/>
          <w:color w:val="000000"/>
          <w:sz w:val="28"/>
        </w:rPr>
        <w:t>
</w:t>
      </w:r>
      <w:r>
        <w:rPr>
          <w:rFonts w:ascii="Times New Roman"/>
          <w:b w:val="false"/>
          <w:i w:val="false"/>
          <w:color w:val="000000"/>
          <w:sz w:val="28"/>
        </w:rPr>
        <w:t>включая место водителя.</w:t>
      </w:r>
      <w:r>
        <w:br/>
      </w:r>
      <w:r>
        <w:rPr>
          <w:rFonts w:ascii="Times New Roman"/>
          <w:b w:val="false"/>
          <w:i w:val="false"/>
          <w:color w:val="000000"/>
          <w:sz w:val="28"/>
        </w:rPr>
        <w:t>
</w:t>
      </w:r>
      <w:r>
        <w:rPr>
          <w:rFonts w:ascii="Times New Roman"/>
          <w:b w:val="false"/>
          <w:i w:val="false"/>
          <w:color w:val="000000"/>
          <w:vertAlign w:val="superscript"/>
        </w:rPr>
        <w:t>2 </w:t>
      </w:r>
      <w:r>
        <w:rPr>
          <w:rFonts w:ascii="Times New Roman"/>
          <w:b w:val="false"/>
          <w:i w:val="false"/>
          <w:color w:val="000000"/>
          <w:sz w:val="28"/>
        </w:rPr>
        <w:t>Легковой автомобиль общего назначения – легковой автомобиль без специального</w:t>
      </w:r>
      <w:r>
        <w:br/>
      </w:r>
      <w:r>
        <w:rPr>
          <w:rFonts w:ascii="Times New Roman"/>
          <w:b w:val="false"/>
          <w:i w:val="false"/>
          <w:color w:val="000000"/>
          <w:sz w:val="28"/>
        </w:rPr>
        <w:t>
</w:t>
      </w:r>
      <w:r>
        <w:rPr>
          <w:rFonts w:ascii="Times New Roman"/>
          <w:b w:val="false"/>
          <w:i w:val="false"/>
          <w:color w:val="000000"/>
          <w:sz w:val="28"/>
        </w:rPr>
        <w:t>оборудования.</w:t>
      </w:r>
      <w:r>
        <w:br/>
      </w:r>
      <w:r>
        <w:rPr>
          <w:rFonts w:ascii="Times New Roman"/>
          <w:b w:val="false"/>
          <w:i w:val="false"/>
          <w:color w:val="000000"/>
          <w:sz w:val="28"/>
        </w:rPr>
        <w:t>
</w:t>
      </w:r>
      <w:r>
        <w:rPr>
          <w:rFonts w:ascii="Times New Roman"/>
          <w:b w:val="false"/>
          <w:i w:val="false"/>
          <w:color w:val="000000"/>
          <w:vertAlign w:val="superscript"/>
        </w:rPr>
        <w:t>3 </w:t>
      </w:r>
      <w:r>
        <w:rPr>
          <w:rFonts w:ascii="Times New Roman"/>
          <w:b w:val="false"/>
          <w:i w:val="false"/>
          <w:color w:val="000000"/>
          <w:sz w:val="28"/>
        </w:rPr>
        <w:t>Специальный легковой автомобиль – легковой автомобиль со специальным оборудованием.</w:t>
      </w:r>
      <w:r>
        <w:br/>
      </w:r>
      <w:r>
        <w:rPr>
          <w:rFonts w:ascii="Times New Roman"/>
          <w:b w:val="false"/>
          <w:i w:val="false"/>
          <w:color w:val="000000"/>
          <w:sz w:val="28"/>
        </w:rPr>
        <w:t>
</w:t>
      </w:r>
      <w:r>
        <w:rPr>
          <w:rFonts w:ascii="Times New Roman"/>
          <w:b w:val="false"/>
          <w:i w:val="false"/>
          <w:color w:val="000000"/>
          <w:sz w:val="28"/>
        </w:rPr>
        <w:t>К специальному оборудованию относятся, например, таксометр, мобильная радиостанция,</w:t>
      </w:r>
      <w:r>
        <w:br/>
      </w:r>
      <w:r>
        <w:rPr>
          <w:rFonts w:ascii="Times New Roman"/>
          <w:b w:val="false"/>
          <w:i w:val="false"/>
          <w:color w:val="000000"/>
          <w:sz w:val="28"/>
        </w:rPr>
        <w:t>
</w:t>
      </w:r>
      <w:r>
        <w:rPr>
          <w:rFonts w:ascii="Times New Roman"/>
          <w:b w:val="false"/>
          <w:i w:val="false"/>
          <w:color w:val="000000"/>
          <w:sz w:val="28"/>
        </w:rPr>
        <w:t>дополнительная световая и звуковая сигнализация и т. д. К специальным легковым</w:t>
      </w:r>
      <w:r>
        <w:br/>
      </w:r>
      <w:r>
        <w:rPr>
          <w:rFonts w:ascii="Times New Roman"/>
          <w:b w:val="false"/>
          <w:i w:val="false"/>
          <w:color w:val="000000"/>
          <w:sz w:val="28"/>
        </w:rPr>
        <w:t>
</w:t>
      </w:r>
      <w:r>
        <w:rPr>
          <w:rFonts w:ascii="Times New Roman"/>
          <w:b w:val="false"/>
          <w:i w:val="false"/>
          <w:color w:val="000000"/>
          <w:sz w:val="28"/>
        </w:rPr>
        <w:t>автомобилям относятся, например, автомобиль скорой помощи, автомобиль для инкассации</w:t>
      </w:r>
      <w:r>
        <w:br/>
      </w:r>
      <w:r>
        <w:rPr>
          <w:rFonts w:ascii="Times New Roman"/>
          <w:b w:val="false"/>
          <w:i w:val="false"/>
          <w:color w:val="000000"/>
          <w:sz w:val="28"/>
        </w:rPr>
        <w:t>
</w:t>
      </w:r>
      <w:r>
        <w:rPr>
          <w:rFonts w:ascii="Times New Roman"/>
          <w:b w:val="false"/>
          <w:i w:val="false"/>
          <w:color w:val="000000"/>
          <w:sz w:val="28"/>
        </w:rPr>
        <w:t>денежной выручки и перевозки ценных грузов, такси.</w:t>
      </w:r>
      <w:r>
        <w:br/>
      </w:r>
      <w:r>
        <w:rPr>
          <w:rFonts w:ascii="Times New Roman"/>
          <w:b w:val="false"/>
          <w:i w:val="false"/>
          <w:color w:val="000000"/>
          <w:sz w:val="28"/>
        </w:rPr>
        <w:t>
</w:t>
      </w:r>
      <w:r>
        <w:rPr>
          <w:rFonts w:ascii="Times New Roman"/>
          <w:b w:val="false"/>
          <w:i w:val="false"/>
          <w:color w:val="000000"/>
          <w:vertAlign w:val="superscript"/>
        </w:rPr>
        <w:t>4 </w:t>
      </w:r>
      <w:r>
        <w:rPr>
          <w:rFonts w:ascii="Times New Roman"/>
          <w:b w:val="false"/>
          <w:i w:val="false"/>
          <w:color w:val="000000"/>
          <w:sz w:val="28"/>
        </w:rPr>
        <w:t>Грузовой автомобиль – автомобиль, конструкция и оборудование которого предназначены</w:t>
      </w:r>
      <w:r>
        <w:br/>
      </w:r>
      <w:r>
        <w:rPr>
          <w:rFonts w:ascii="Times New Roman"/>
          <w:b w:val="false"/>
          <w:i w:val="false"/>
          <w:color w:val="000000"/>
          <w:sz w:val="28"/>
        </w:rPr>
        <w:t>
</w:t>
      </w:r>
      <w:r>
        <w:rPr>
          <w:rFonts w:ascii="Times New Roman"/>
          <w:b w:val="false"/>
          <w:i w:val="false"/>
          <w:color w:val="000000"/>
          <w:sz w:val="28"/>
        </w:rPr>
        <w:t>для перевозки грузов.</w:t>
      </w:r>
      <w:r>
        <w:br/>
      </w:r>
      <w:r>
        <w:rPr>
          <w:rFonts w:ascii="Times New Roman"/>
          <w:b w:val="false"/>
          <w:i w:val="false"/>
          <w:color w:val="000000"/>
          <w:sz w:val="28"/>
        </w:rPr>
        <w:t>
</w:t>
      </w:r>
      <w:r>
        <w:rPr>
          <w:rFonts w:ascii="Times New Roman"/>
          <w:b w:val="false"/>
          <w:i w:val="false"/>
          <w:color w:val="000000"/>
          <w:vertAlign w:val="superscript"/>
        </w:rPr>
        <w:t>5 </w:t>
      </w:r>
      <w:r>
        <w:rPr>
          <w:rFonts w:ascii="Times New Roman"/>
          <w:b w:val="false"/>
          <w:i w:val="false"/>
          <w:color w:val="000000"/>
          <w:sz w:val="28"/>
        </w:rPr>
        <w:t>Грузовой автомобиль общего назначения – грузовой автомобиль с бортовой платформой, не</w:t>
      </w:r>
      <w:r>
        <w:br/>
      </w:r>
      <w:r>
        <w:rPr>
          <w:rFonts w:ascii="Times New Roman"/>
          <w:b w:val="false"/>
          <w:i w:val="false"/>
          <w:color w:val="000000"/>
          <w:sz w:val="28"/>
        </w:rPr>
        <w:t>
</w:t>
      </w:r>
      <w:r>
        <w:rPr>
          <w:rFonts w:ascii="Times New Roman"/>
          <w:b w:val="false"/>
          <w:i w:val="false"/>
          <w:color w:val="000000"/>
          <w:sz w:val="28"/>
        </w:rPr>
        <w:t>оборудованный средствами самопогрузки-саморазгрузки или другим специальным</w:t>
      </w:r>
      <w:r>
        <w:br/>
      </w:r>
      <w:r>
        <w:rPr>
          <w:rFonts w:ascii="Times New Roman"/>
          <w:b w:val="false"/>
          <w:i w:val="false"/>
          <w:color w:val="000000"/>
          <w:sz w:val="28"/>
        </w:rPr>
        <w:t>
</w:t>
      </w:r>
      <w:r>
        <w:rPr>
          <w:rFonts w:ascii="Times New Roman"/>
          <w:b w:val="false"/>
          <w:i w:val="false"/>
          <w:color w:val="000000"/>
          <w:sz w:val="28"/>
        </w:rPr>
        <w:t>оборудованием.</w:t>
      </w:r>
      <w:r>
        <w:br/>
      </w:r>
      <w:r>
        <w:rPr>
          <w:rFonts w:ascii="Times New Roman"/>
          <w:b w:val="false"/>
          <w:i w:val="false"/>
          <w:color w:val="000000"/>
          <w:sz w:val="28"/>
        </w:rPr>
        <w:t>
</w:t>
      </w:r>
      <w:r>
        <w:rPr>
          <w:rFonts w:ascii="Times New Roman"/>
          <w:b w:val="false"/>
          <w:i w:val="false"/>
          <w:color w:val="000000"/>
          <w:vertAlign w:val="superscript"/>
        </w:rPr>
        <w:t>6 </w:t>
      </w:r>
      <w:r>
        <w:rPr>
          <w:rFonts w:ascii="Times New Roman"/>
          <w:b w:val="false"/>
          <w:i w:val="false"/>
          <w:color w:val="000000"/>
          <w:sz w:val="28"/>
        </w:rPr>
        <w:t>Специальный грузовой автомобиль – грузовой автомобиль, оборудованный средствами</w:t>
      </w:r>
      <w:r>
        <w:br/>
      </w:r>
      <w:r>
        <w:rPr>
          <w:rFonts w:ascii="Times New Roman"/>
          <w:b w:val="false"/>
          <w:i w:val="false"/>
          <w:color w:val="000000"/>
          <w:sz w:val="28"/>
        </w:rPr>
        <w:t>
</w:t>
      </w:r>
      <w:r>
        <w:rPr>
          <w:rFonts w:ascii="Times New Roman"/>
          <w:b w:val="false"/>
          <w:i w:val="false"/>
          <w:color w:val="000000"/>
          <w:sz w:val="28"/>
        </w:rPr>
        <w:t>самопогрузки-саморазгрузки или другим специальным оборудованием и (или) предназначенный</w:t>
      </w:r>
      <w:r>
        <w:br/>
      </w:r>
      <w:r>
        <w:rPr>
          <w:rFonts w:ascii="Times New Roman"/>
          <w:b w:val="false"/>
          <w:i w:val="false"/>
          <w:color w:val="000000"/>
          <w:sz w:val="28"/>
        </w:rPr>
        <w:t>
</w:t>
      </w:r>
      <w:r>
        <w:rPr>
          <w:rFonts w:ascii="Times New Roman"/>
          <w:b w:val="false"/>
          <w:i w:val="false"/>
          <w:color w:val="000000"/>
          <w:sz w:val="28"/>
        </w:rPr>
        <w:t>для перевозки грузов конкретных категорий.</w:t>
      </w:r>
      <w:r>
        <w:br/>
      </w:r>
      <w:r>
        <w:rPr>
          <w:rFonts w:ascii="Times New Roman"/>
          <w:b w:val="false"/>
          <w:i w:val="false"/>
          <w:color w:val="000000"/>
          <w:sz w:val="28"/>
        </w:rPr>
        <w:t>
</w:t>
      </w:r>
      <w:r>
        <w:rPr>
          <w:rFonts w:ascii="Times New Roman"/>
          <w:b w:val="false"/>
          <w:i w:val="false"/>
          <w:color w:val="000000"/>
          <w:sz w:val="28"/>
        </w:rPr>
        <w:t>К таким автомобилям относятся, например, автокран, автобетоносмеситель, автоцистерна.</w:t>
      </w:r>
      <w:r>
        <w:br/>
      </w:r>
      <w:r>
        <w:rPr>
          <w:rFonts w:ascii="Times New Roman"/>
          <w:b w:val="false"/>
          <w:i w:val="false"/>
          <w:color w:val="000000"/>
          <w:sz w:val="28"/>
        </w:rPr>
        <w:t>
</w:t>
      </w:r>
      <w:r>
        <w:rPr>
          <w:rFonts w:ascii="Times New Roman"/>
          <w:b w:val="false"/>
          <w:i w:val="false"/>
          <w:color w:val="000000"/>
          <w:vertAlign w:val="superscript"/>
        </w:rPr>
        <w:t>7 </w:t>
      </w:r>
      <w:r>
        <w:rPr>
          <w:rFonts w:ascii="Times New Roman"/>
          <w:b w:val="false"/>
          <w:i w:val="false"/>
          <w:color w:val="000000"/>
          <w:sz w:val="28"/>
        </w:rPr>
        <w:t>Грузопассажирский автомобиль – автомобиль, конструкция и оборудование которого</w:t>
      </w:r>
      <w:r>
        <w:br/>
      </w:r>
      <w:r>
        <w:rPr>
          <w:rFonts w:ascii="Times New Roman"/>
          <w:b w:val="false"/>
          <w:i w:val="false"/>
          <w:color w:val="000000"/>
          <w:sz w:val="28"/>
        </w:rPr>
        <w:t>
</w:t>
      </w:r>
      <w:r>
        <w:rPr>
          <w:rFonts w:ascii="Times New Roman"/>
          <w:b w:val="false"/>
          <w:i w:val="false"/>
          <w:color w:val="000000"/>
          <w:sz w:val="28"/>
        </w:rPr>
        <w:t>предназначены для перевозки пассажиров и грузов.</w:t>
      </w:r>
      <w:r>
        <w:br/>
      </w:r>
      <w:r>
        <w:rPr>
          <w:rFonts w:ascii="Times New Roman"/>
          <w:b w:val="false"/>
          <w:i w:val="false"/>
          <w:color w:val="000000"/>
          <w:sz w:val="28"/>
        </w:rPr>
        <w:t>
</w:t>
      </w:r>
      <w:r>
        <w:rPr>
          <w:rFonts w:ascii="Times New Roman"/>
          <w:b w:val="false"/>
          <w:i w:val="false"/>
          <w:color w:val="000000"/>
          <w:vertAlign w:val="superscript"/>
        </w:rPr>
        <w:t>8 </w:t>
      </w:r>
      <w:r>
        <w:rPr>
          <w:rFonts w:ascii="Times New Roman"/>
          <w:b w:val="false"/>
          <w:i w:val="false"/>
          <w:color w:val="000000"/>
          <w:sz w:val="28"/>
        </w:rPr>
        <w:t>Автомобиль-тягач – автомобиль, конструкция и оборудование которого предназначены</w:t>
      </w:r>
      <w:r>
        <w:br/>
      </w:r>
      <w:r>
        <w:rPr>
          <w:rFonts w:ascii="Times New Roman"/>
          <w:b w:val="false"/>
          <w:i w:val="false"/>
          <w:color w:val="000000"/>
          <w:sz w:val="28"/>
        </w:rPr>
        <w:t>
</w:t>
      </w:r>
      <w:r>
        <w:rPr>
          <w:rFonts w:ascii="Times New Roman"/>
          <w:b w:val="false"/>
          <w:i w:val="false"/>
          <w:color w:val="000000"/>
          <w:sz w:val="28"/>
        </w:rPr>
        <w:t>исключительно для буксирования дорожных транспортных средств, за исключением</w:t>
      </w:r>
      <w:r>
        <w:br/>
      </w:r>
      <w:r>
        <w:rPr>
          <w:rFonts w:ascii="Times New Roman"/>
          <w:b w:val="false"/>
          <w:i w:val="false"/>
          <w:color w:val="000000"/>
          <w:sz w:val="28"/>
        </w:rPr>
        <w:t>
</w:t>
      </w:r>
      <w:r>
        <w:rPr>
          <w:rFonts w:ascii="Times New Roman"/>
          <w:b w:val="false"/>
          <w:i w:val="false"/>
          <w:color w:val="000000"/>
          <w:sz w:val="28"/>
        </w:rPr>
        <w:t>полуприцепов.</w:t>
      </w:r>
      <w:r>
        <w:br/>
      </w:r>
      <w:r>
        <w:rPr>
          <w:rFonts w:ascii="Times New Roman"/>
          <w:b w:val="false"/>
          <w:i w:val="false"/>
          <w:color w:val="000000"/>
          <w:sz w:val="28"/>
        </w:rPr>
        <w:t>
</w:t>
      </w:r>
      <w:r>
        <w:rPr>
          <w:rFonts w:ascii="Times New Roman"/>
          <w:b w:val="false"/>
          <w:i w:val="false"/>
          <w:color w:val="000000"/>
          <w:vertAlign w:val="superscript"/>
        </w:rPr>
        <w:t>9 </w:t>
      </w:r>
      <w:r>
        <w:rPr>
          <w:rFonts w:ascii="Times New Roman"/>
          <w:b w:val="false"/>
          <w:i w:val="false"/>
          <w:color w:val="000000"/>
          <w:sz w:val="28"/>
        </w:rPr>
        <w:t>Седельный тягач – автомобиль, конструкция и оборудование которого предназначены для</w:t>
      </w:r>
      <w:r>
        <w:br/>
      </w:r>
      <w:r>
        <w:rPr>
          <w:rFonts w:ascii="Times New Roman"/>
          <w:b w:val="false"/>
          <w:i w:val="false"/>
          <w:color w:val="000000"/>
          <w:sz w:val="28"/>
        </w:rPr>
        <w:t>
</w:t>
      </w:r>
      <w:r>
        <w:rPr>
          <w:rFonts w:ascii="Times New Roman"/>
          <w:b w:val="false"/>
          <w:i w:val="false"/>
          <w:color w:val="000000"/>
          <w:sz w:val="28"/>
        </w:rPr>
        <w:t>буксирования полуприцепа.</w:t>
      </w:r>
      <w:r>
        <w:br/>
      </w:r>
      <w:r>
        <w:rPr>
          <w:rFonts w:ascii="Times New Roman"/>
          <w:b w:val="false"/>
          <w:i w:val="false"/>
          <w:color w:val="000000"/>
          <w:sz w:val="28"/>
        </w:rPr>
        <w:t>
</w:t>
      </w:r>
      <w:r>
        <w:rPr>
          <w:rFonts w:ascii="Times New Roman"/>
          <w:b w:val="false"/>
          <w:i w:val="false"/>
          <w:color w:val="000000"/>
          <w:vertAlign w:val="superscript"/>
        </w:rPr>
        <w:t>10 </w:t>
      </w:r>
      <w:r>
        <w:rPr>
          <w:rFonts w:ascii="Times New Roman"/>
          <w:b w:val="false"/>
          <w:i w:val="false"/>
          <w:color w:val="000000"/>
          <w:sz w:val="28"/>
        </w:rPr>
        <w:t>Прицеп – транспортное средство без двигателя, предназначенное для перевозки</w:t>
      </w:r>
      <w:r>
        <w:br/>
      </w:r>
      <w:r>
        <w:rPr>
          <w:rFonts w:ascii="Times New Roman"/>
          <w:b w:val="false"/>
          <w:i w:val="false"/>
          <w:color w:val="000000"/>
          <w:sz w:val="28"/>
        </w:rPr>
        <w:t>
</w:t>
      </w:r>
      <w:r>
        <w:rPr>
          <w:rFonts w:ascii="Times New Roman"/>
          <w:b w:val="false"/>
          <w:i w:val="false"/>
          <w:color w:val="000000"/>
          <w:sz w:val="28"/>
        </w:rPr>
        <w:t>пассажиров или грузов, вертикальная нагрузка которого передается на опорную поверхность</w:t>
      </w:r>
      <w:r>
        <w:br/>
      </w:r>
      <w:r>
        <w:rPr>
          <w:rFonts w:ascii="Times New Roman"/>
          <w:b w:val="false"/>
          <w:i w:val="false"/>
          <w:color w:val="000000"/>
          <w:sz w:val="28"/>
        </w:rPr>
        <w:t>
</w:t>
      </w:r>
      <w:r>
        <w:rPr>
          <w:rFonts w:ascii="Times New Roman"/>
          <w:b w:val="false"/>
          <w:i w:val="false"/>
          <w:color w:val="000000"/>
          <w:sz w:val="28"/>
        </w:rPr>
        <w:t>через колеса и которое приспособлено для буксирования автомобилем.</w:t>
      </w:r>
      <w:r>
        <w:br/>
      </w:r>
      <w:r>
        <w:rPr>
          <w:rFonts w:ascii="Times New Roman"/>
          <w:b w:val="false"/>
          <w:i w:val="false"/>
          <w:color w:val="000000"/>
          <w:sz w:val="28"/>
        </w:rPr>
        <w:t>
</w:t>
      </w:r>
      <w:r>
        <w:rPr>
          <w:rFonts w:ascii="Times New Roman"/>
          <w:b w:val="false"/>
          <w:i w:val="false"/>
          <w:color w:val="000000"/>
          <w:vertAlign w:val="superscript"/>
        </w:rPr>
        <w:t>11 </w:t>
      </w:r>
      <w:r>
        <w:rPr>
          <w:rFonts w:ascii="Times New Roman"/>
          <w:b w:val="false"/>
          <w:i w:val="false"/>
          <w:color w:val="000000"/>
          <w:sz w:val="28"/>
        </w:rPr>
        <w:t>Пассажирский прицеп – прицеп, конструкция и оборудование которого предназначены для</w:t>
      </w:r>
      <w:r>
        <w:br/>
      </w:r>
      <w:r>
        <w:rPr>
          <w:rFonts w:ascii="Times New Roman"/>
          <w:b w:val="false"/>
          <w:i w:val="false"/>
          <w:color w:val="000000"/>
          <w:sz w:val="28"/>
        </w:rPr>
        <w:t>
</w:t>
      </w:r>
      <w:r>
        <w:rPr>
          <w:rFonts w:ascii="Times New Roman"/>
          <w:b w:val="false"/>
          <w:i w:val="false"/>
          <w:color w:val="000000"/>
          <w:sz w:val="28"/>
        </w:rPr>
        <w:t>перевозки пассажиров и багажа.</w:t>
      </w:r>
      <w:r>
        <w:br/>
      </w:r>
      <w:r>
        <w:rPr>
          <w:rFonts w:ascii="Times New Roman"/>
          <w:b w:val="false"/>
          <w:i w:val="false"/>
          <w:color w:val="000000"/>
          <w:sz w:val="28"/>
        </w:rPr>
        <w:t>
</w:t>
      </w:r>
      <w:r>
        <w:rPr>
          <w:rFonts w:ascii="Times New Roman"/>
          <w:b w:val="false"/>
          <w:i w:val="false"/>
          <w:color w:val="000000"/>
          <w:vertAlign w:val="superscript"/>
        </w:rPr>
        <w:t>12 </w:t>
      </w:r>
      <w:r>
        <w:rPr>
          <w:rFonts w:ascii="Times New Roman"/>
          <w:b w:val="false"/>
          <w:i w:val="false"/>
          <w:color w:val="000000"/>
          <w:sz w:val="28"/>
        </w:rPr>
        <w:t>Грузовой прицеп общего назначения – прицеп с бортовой платформой открытого или</w:t>
      </w:r>
      <w:r>
        <w:br/>
      </w:r>
      <w:r>
        <w:rPr>
          <w:rFonts w:ascii="Times New Roman"/>
          <w:b w:val="false"/>
          <w:i w:val="false"/>
          <w:color w:val="000000"/>
          <w:sz w:val="28"/>
        </w:rPr>
        <w:t>
</w:t>
      </w:r>
      <w:r>
        <w:rPr>
          <w:rFonts w:ascii="Times New Roman"/>
          <w:b w:val="false"/>
          <w:i w:val="false"/>
          <w:color w:val="000000"/>
          <w:sz w:val="28"/>
        </w:rPr>
        <w:t>закрытого типа, не оборудованный средствами самопогрузки-саморазгрузки или другим</w:t>
      </w:r>
      <w:r>
        <w:br/>
      </w:r>
      <w:r>
        <w:rPr>
          <w:rFonts w:ascii="Times New Roman"/>
          <w:b w:val="false"/>
          <w:i w:val="false"/>
          <w:color w:val="000000"/>
          <w:sz w:val="28"/>
        </w:rPr>
        <w:t>
</w:t>
      </w:r>
      <w:r>
        <w:rPr>
          <w:rFonts w:ascii="Times New Roman"/>
          <w:b w:val="false"/>
          <w:i w:val="false"/>
          <w:color w:val="000000"/>
          <w:sz w:val="28"/>
        </w:rPr>
        <w:t>специальным оборудованием.</w:t>
      </w:r>
      <w:r>
        <w:br/>
      </w:r>
      <w:r>
        <w:rPr>
          <w:rFonts w:ascii="Times New Roman"/>
          <w:b w:val="false"/>
          <w:i w:val="false"/>
          <w:color w:val="000000"/>
          <w:sz w:val="28"/>
        </w:rPr>
        <w:t>
</w:t>
      </w:r>
      <w:r>
        <w:rPr>
          <w:rFonts w:ascii="Times New Roman"/>
          <w:b w:val="false"/>
          <w:i w:val="false"/>
          <w:color w:val="000000"/>
          <w:vertAlign w:val="superscript"/>
        </w:rPr>
        <w:t>13 </w:t>
      </w:r>
      <w:r>
        <w:rPr>
          <w:rFonts w:ascii="Times New Roman"/>
          <w:b w:val="false"/>
          <w:i w:val="false"/>
          <w:color w:val="000000"/>
          <w:sz w:val="28"/>
        </w:rPr>
        <w:t>Специальный прицеп – прицеп, конструкция и оборудование которого предназначены для</w:t>
      </w:r>
      <w:r>
        <w:br/>
      </w:r>
      <w:r>
        <w:rPr>
          <w:rFonts w:ascii="Times New Roman"/>
          <w:b w:val="false"/>
          <w:i w:val="false"/>
          <w:color w:val="000000"/>
          <w:sz w:val="28"/>
        </w:rPr>
        <w:t>
</w:t>
      </w:r>
      <w:r>
        <w:rPr>
          <w:rFonts w:ascii="Times New Roman"/>
          <w:b w:val="false"/>
          <w:i w:val="false"/>
          <w:color w:val="000000"/>
          <w:sz w:val="28"/>
        </w:rPr>
        <w:t>выполнения специальных рабочих функций или перевозки грузов определенных категорий.</w:t>
      </w:r>
      <w:r>
        <w:br/>
      </w:r>
      <w:r>
        <w:rPr>
          <w:rFonts w:ascii="Times New Roman"/>
          <w:b w:val="false"/>
          <w:i w:val="false"/>
          <w:color w:val="000000"/>
          <w:sz w:val="28"/>
        </w:rPr>
        <w:t>
</w:t>
      </w:r>
      <w:r>
        <w:rPr>
          <w:rFonts w:ascii="Times New Roman"/>
          <w:b w:val="false"/>
          <w:i w:val="false"/>
          <w:color w:val="000000"/>
          <w:vertAlign w:val="superscript"/>
        </w:rPr>
        <w:t>14 </w:t>
      </w:r>
      <w:r>
        <w:rPr>
          <w:rFonts w:ascii="Times New Roman"/>
          <w:b w:val="false"/>
          <w:i w:val="false"/>
          <w:color w:val="000000"/>
          <w:sz w:val="28"/>
        </w:rPr>
        <w:t>Караван – прицеп, предназначенный для использования в дорожных условиях во время</w:t>
      </w:r>
      <w:r>
        <w:br/>
      </w:r>
      <w:r>
        <w:rPr>
          <w:rFonts w:ascii="Times New Roman"/>
          <w:b w:val="false"/>
          <w:i w:val="false"/>
          <w:color w:val="000000"/>
          <w:sz w:val="28"/>
        </w:rPr>
        <w:t>
</w:t>
      </w:r>
      <w:r>
        <w:rPr>
          <w:rFonts w:ascii="Times New Roman"/>
          <w:b w:val="false"/>
          <w:i w:val="false"/>
          <w:color w:val="000000"/>
          <w:sz w:val="28"/>
        </w:rPr>
        <w:t>стоянок в качестве мобильного жилого помещения.</w:t>
      </w:r>
      <w:r>
        <w:br/>
      </w:r>
      <w:r>
        <w:rPr>
          <w:rFonts w:ascii="Times New Roman"/>
          <w:b w:val="false"/>
          <w:i w:val="false"/>
          <w:color w:val="000000"/>
          <w:sz w:val="28"/>
        </w:rPr>
        <w:t>
</w:t>
      </w:r>
      <w:r>
        <w:rPr>
          <w:rFonts w:ascii="Times New Roman"/>
          <w:b w:val="false"/>
          <w:i w:val="false"/>
          <w:color w:val="000000"/>
          <w:vertAlign w:val="superscript"/>
        </w:rPr>
        <w:t>15 </w:t>
      </w:r>
      <w:r>
        <w:rPr>
          <w:rFonts w:ascii="Times New Roman"/>
          <w:b w:val="false"/>
          <w:i w:val="false"/>
          <w:color w:val="000000"/>
          <w:sz w:val="28"/>
        </w:rPr>
        <w:t>Полуприцеп – прицеп, конструкция которого предназначена для использования с</w:t>
      </w:r>
      <w:r>
        <w:br/>
      </w:r>
      <w:r>
        <w:rPr>
          <w:rFonts w:ascii="Times New Roman"/>
          <w:b w:val="false"/>
          <w:i w:val="false"/>
          <w:color w:val="000000"/>
          <w:sz w:val="28"/>
        </w:rPr>
        <w:t>
</w:t>
      </w:r>
      <w:r>
        <w:rPr>
          <w:rFonts w:ascii="Times New Roman"/>
          <w:b w:val="false"/>
          <w:i w:val="false"/>
          <w:color w:val="000000"/>
          <w:sz w:val="28"/>
        </w:rPr>
        <w:t>седельным тягачом, часть полной массы которого передается на седельный тягач через</w:t>
      </w:r>
      <w:r>
        <w:br/>
      </w:r>
      <w:r>
        <w:rPr>
          <w:rFonts w:ascii="Times New Roman"/>
          <w:b w:val="false"/>
          <w:i w:val="false"/>
          <w:color w:val="000000"/>
          <w:sz w:val="28"/>
        </w:rPr>
        <w:t>
</w:t>
      </w:r>
      <w:r>
        <w:rPr>
          <w:rFonts w:ascii="Times New Roman"/>
          <w:b w:val="false"/>
          <w:i w:val="false"/>
          <w:color w:val="000000"/>
          <w:sz w:val="28"/>
        </w:rPr>
        <w:t>седельно-сцепное устройство.</w:t>
      </w:r>
      <w:r>
        <w:br/>
      </w:r>
      <w:r>
        <w:rPr>
          <w:rFonts w:ascii="Times New Roman"/>
          <w:b w:val="false"/>
          <w:i w:val="false"/>
          <w:color w:val="000000"/>
          <w:sz w:val="28"/>
        </w:rPr>
        <w:t>
</w:t>
      </w:r>
      <w:r>
        <w:rPr>
          <w:rFonts w:ascii="Times New Roman"/>
          <w:b w:val="false"/>
          <w:i w:val="false"/>
          <w:color w:val="000000"/>
          <w:vertAlign w:val="superscript"/>
        </w:rPr>
        <w:t>16 </w:t>
      </w:r>
      <w:r>
        <w:rPr>
          <w:rFonts w:ascii="Times New Roman"/>
          <w:b w:val="false"/>
          <w:i w:val="false"/>
          <w:color w:val="000000"/>
          <w:sz w:val="28"/>
        </w:rPr>
        <w:t>Пассажирский полуприцеп – полуприцеп, конструкция и оборудование которого</w:t>
      </w:r>
      <w:r>
        <w:br/>
      </w:r>
      <w:r>
        <w:rPr>
          <w:rFonts w:ascii="Times New Roman"/>
          <w:b w:val="false"/>
          <w:i w:val="false"/>
          <w:color w:val="000000"/>
          <w:sz w:val="28"/>
        </w:rPr>
        <w:t>
</w:t>
      </w:r>
      <w:r>
        <w:rPr>
          <w:rFonts w:ascii="Times New Roman"/>
          <w:b w:val="false"/>
          <w:i w:val="false"/>
          <w:color w:val="000000"/>
          <w:sz w:val="28"/>
        </w:rPr>
        <w:t>предназначены для перевозки людей и багажа.</w:t>
      </w:r>
      <w:r>
        <w:br/>
      </w:r>
      <w:r>
        <w:rPr>
          <w:rFonts w:ascii="Times New Roman"/>
          <w:b w:val="false"/>
          <w:i w:val="false"/>
          <w:color w:val="000000"/>
          <w:sz w:val="28"/>
        </w:rPr>
        <w:t>
</w:t>
      </w:r>
      <w:r>
        <w:rPr>
          <w:rFonts w:ascii="Times New Roman"/>
          <w:b w:val="false"/>
          <w:i w:val="false"/>
          <w:color w:val="000000"/>
          <w:vertAlign w:val="superscript"/>
        </w:rPr>
        <w:t>17 </w:t>
      </w:r>
      <w:r>
        <w:rPr>
          <w:rFonts w:ascii="Times New Roman"/>
          <w:b w:val="false"/>
          <w:i w:val="false"/>
          <w:color w:val="000000"/>
          <w:sz w:val="28"/>
        </w:rPr>
        <w:t>Грузовой полуприцеп общего назначения – полуприцеп с бортовой платформой закрытого</w:t>
      </w:r>
      <w:r>
        <w:br/>
      </w:r>
      <w:r>
        <w:rPr>
          <w:rFonts w:ascii="Times New Roman"/>
          <w:b w:val="false"/>
          <w:i w:val="false"/>
          <w:color w:val="000000"/>
          <w:sz w:val="28"/>
        </w:rPr>
        <w:t>
</w:t>
      </w:r>
      <w:r>
        <w:rPr>
          <w:rFonts w:ascii="Times New Roman"/>
          <w:b w:val="false"/>
          <w:i w:val="false"/>
          <w:color w:val="000000"/>
          <w:sz w:val="28"/>
        </w:rPr>
        <w:t>или открытого типа, не оборудованный средствами самопогрузки-саморазгрузки или другим</w:t>
      </w:r>
      <w:r>
        <w:br/>
      </w:r>
      <w:r>
        <w:rPr>
          <w:rFonts w:ascii="Times New Roman"/>
          <w:b w:val="false"/>
          <w:i w:val="false"/>
          <w:color w:val="000000"/>
          <w:sz w:val="28"/>
        </w:rPr>
        <w:t>
</w:t>
      </w:r>
      <w:r>
        <w:rPr>
          <w:rFonts w:ascii="Times New Roman"/>
          <w:b w:val="false"/>
          <w:i w:val="false"/>
          <w:color w:val="000000"/>
          <w:sz w:val="28"/>
        </w:rPr>
        <w:t>специальным оборудованием.</w:t>
      </w:r>
      <w:r>
        <w:br/>
      </w:r>
      <w:r>
        <w:rPr>
          <w:rFonts w:ascii="Times New Roman"/>
          <w:b w:val="false"/>
          <w:i w:val="false"/>
          <w:color w:val="000000"/>
          <w:sz w:val="28"/>
        </w:rPr>
        <w:t>
</w:t>
      </w:r>
      <w:r>
        <w:rPr>
          <w:rFonts w:ascii="Times New Roman"/>
          <w:b w:val="false"/>
          <w:i w:val="false"/>
          <w:color w:val="000000"/>
          <w:vertAlign w:val="superscript"/>
        </w:rPr>
        <w:t>18 </w:t>
      </w:r>
      <w:r>
        <w:rPr>
          <w:rFonts w:ascii="Times New Roman"/>
          <w:b w:val="false"/>
          <w:i w:val="false"/>
          <w:color w:val="000000"/>
          <w:sz w:val="28"/>
        </w:rPr>
        <w:t>Специальный полуприцеп – полуприцеп, конструкция и оборудование которого</w:t>
      </w:r>
      <w:r>
        <w:br/>
      </w:r>
      <w:r>
        <w:rPr>
          <w:rFonts w:ascii="Times New Roman"/>
          <w:b w:val="false"/>
          <w:i w:val="false"/>
          <w:color w:val="000000"/>
          <w:sz w:val="28"/>
        </w:rPr>
        <w:t>
</w:t>
      </w:r>
      <w:r>
        <w:rPr>
          <w:rFonts w:ascii="Times New Roman"/>
          <w:b w:val="false"/>
          <w:i w:val="false"/>
          <w:color w:val="000000"/>
          <w:sz w:val="28"/>
        </w:rPr>
        <w:t>предназначены для выполнения специальных рабочих функций или перевозки грузов</w:t>
      </w:r>
      <w:r>
        <w:br/>
      </w:r>
      <w:r>
        <w:rPr>
          <w:rFonts w:ascii="Times New Roman"/>
          <w:b w:val="false"/>
          <w:i w:val="false"/>
          <w:color w:val="000000"/>
          <w:sz w:val="28"/>
        </w:rPr>
        <w:t>
</w:t>
      </w:r>
      <w:r>
        <w:rPr>
          <w:rFonts w:ascii="Times New Roman"/>
          <w:b w:val="false"/>
          <w:i w:val="false"/>
          <w:color w:val="000000"/>
          <w:sz w:val="28"/>
        </w:rPr>
        <w:t>определенных категорий.</w:t>
      </w:r>
      <w:r>
        <w:br/>
      </w:r>
      <w:r>
        <w:rPr>
          <w:rFonts w:ascii="Times New Roman"/>
          <w:b w:val="false"/>
          <w:i w:val="false"/>
          <w:color w:val="000000"/>
          <w:sz w:val="28"/>
        </w:rPr>
        <w:t>
</w:t>
      </w:r>
      <w:r>
        <w:rPr>
          <w:rFonts w:ascii="Times New Roman"/>
          <w:b w:val="false"/>
          <w:i w:val="false"/>
          <w:color w:val="000000"/>
          <w:vertAlign w:val="superscript"/>
        </w:rPr>
        <w:t>19 </w:t>
      </w:r>
      <w:r>
        <w:rPr>
          <w:rFonts w:ascii="Times New Roman"/>
          <w:b w:val="false"/>
          <w:i w:val="false"/>
          <w:color w:val="000000"/>
          <w:sz w:val="28"/>
        </w:rPr>
        <w:t>Автобус – пассажирский автомобиль с числом мест для сидения более 9, включая место</w:t>
      </w:r>
      <w:r>
        <w:br/>
      </w:r>
      <w:r>
        <w:rPr>
          <w:rFonts w:ascii="Times New Roman"/>
          <w:b w:val="false"/>
          <w:i w:val="false"/>
          <w:color w:val="000000"/>
          <w:sz w:val="28"/>
        </w:rPr>
        <w:t>
</w:t>
      </w:r>
      <w:r>
        <w:rPr>
          <w:rFonts w:ascii="Times New Roman"/>
          <w:b w:val="false"/>
          <w:i w:val="false"/>
          <w:color w:val="000000"/>
          <w:sz w:val="28"/>
        </w:rPr>
        <w:t>водителя.</w:t>
      </w:r>
      <w:r>
        <w:br/>
      </w:r>
      <w:r>
        <w:rPr>
          <w:rFonts w:ascii="Times New Roman"/>
          <w:b w:val="false"/>
          <w:i w:val="false"/>
          <w:color w:val="000000"/>
          <w:sz w:val="28"/>
        </w:rPr>
        <w:t>
</w:t>
      </w:r>
      <w:r>
        <w:rPr>
          <w:rFonts w:ascii="Times New Roman"/>
          <w:b w:val="false"/>
          <w:i w:val="false"/>
          <w:color w:val="000000"/>
          <w:vertAlign w:val="superscript"/>
        </w:rPr>
        <w:t>20 </w:t>
      </w:r>
      <w:r>
        <w:rPr>
          <w:rFonts w:ascii="Times New Roman"/>
          <w:b w:val="false"/>
          <w:i w:val="false"/>
          <w:color w:val="000000"/>
          <w:sz w:val="28"/>
        </w:rPr>
        <w:t>Автобус общего назначения – автобус, предназначенный для перевозки пассажиров и</w:t>
      </w:r>
      <w:r>
        <w:br/>
      </w:r>
      <w:r>
        <w:rPr>
          <w:rFonts w:ascii="Times New Roman"/>
          <w:b w:val="false"/>
          <w:i w:val="false"/>
          <w:color w:val="000000"/>
          <w:sz w:val="28"/>
        </w:rPr>
        <w:t>
</w:t>
      </w:r>
      <w:r>
        <w:rPr>
          <w:rFonts w:ascii="Times New Roman"/>
          <w:b w:val="false"/>
          <w:i w:val="false"/>
          <w:color w:val="000000"/>
          <w:sz w:val="28"/>
        </w:rPr>
        <w:t>используемый в качестве общественного транспорта (по маршрутам).</w:t>
      </w:r>
      <w:r>
        <w:br/>
      </w:r>
      <w:r>
        <w:rPr>
          <w:rFonts w:ascii="Times New Roman"/>
          <w:b w:val="false"/>
          <w:i w:val="false"/>
          <w:color w:val="000000"/>
          <w:sz w:val="28"/>
        </w:rPr>
        <w:t>
</w:t>
      </w:r>
      <w:r>
        <w:rPr>
          <w:rFonts w:ascii="Times New Roman"/>
          <w:b w:val="false"/>
          <w:i w:val="false"/>
          <w:color w:val="000000"/>
          <w:vertAlign w:val="superscript"/>
        </w:rPr>
        <w:t>21 </w:t>
      </w:r>
      <w:r>
        <w:rPr>
          <w:rFonts w:ascii="Times New Roman"/>
          <w:b w:val="false"/>
          <w:i w:val="false"/>
          <w:color w:val="000000"/>
          <w:sz w:val="28"/>
        </w:rPr>
        <w:t>Специальный автобус – автобус со специальным оборудованием, предназначенный в</w:t>
      </w:r>
      <w:r>
        <w:br/>
      </w:r>
      <w:r>
        <w:rPr>
          <w:rFonts w:ascii="Times New Roman"/>
          <w:b w:val="false"/>
          <w:i w:val="false"/>
          <w:color w:val="000000"/>
          <w:sz w:val="28"/>
        </w:rPr>
        <w:t>
</w:t>
      </w:r>
      <w:r>
        <w:rPr>
          <w:rFonts w:ascii="Times New Roman"/>
          <w:b w:val="false"/>
          <w:i w:val="false"/>
          <w:color w:val="000000"/>
          <w:sz w:val="28"/>
        </w:rPr>
        <w:t>основном для перевозки пассажиров определенных категорий или профессий.</w:t>
      </w:r>
      <w:r>
        <w:br/>
      </w:r>
      <w:r>
        <w:rPr>
          <w:rFonts w:ascii="Times New Roman"/>
          <w:b w:val="false"/>
          <w:i w:val="false"/>
          <w:color w:val="000000"/>
          <w:sz w:val="28"/>
        </w:rPr>
        <w:t>
</w:t>
      </w:r>
      <w:r>
        <w:rPr>
          <w:rFonts w:ascii="Times New Roman"/>
          <w:b w:val="false"/>
          <w:i w:val="false"/>
          <w:color w:val="000000"/>
          <w:sz w:val="28"/>
        </w:rPr>
        <w:t>К таким автобусам относятся, например, автобус для перевозки инвалидов, катафалк.</w:t>
      </w:r>
      <w:r>
        <w:br/>
      </w:r>
      <w:r>
        <w:rPr>
          <w:rFonts w:ascii="Times New Roman"/>
          <w:b w:val="false"/>
          <w:i w:val="false"/>
          <w:color w:val="000000"/>
          <w:sz w:val="28"/>
        </w:rPr>
        <w:t>
</w:t>
      </w:r>
      <w:r>
        <w:rPr>
          <w:rFonts w:ascii="Times New Roman"/>
          <w:b w:val="false"/>
          <w:i w:val="false"/>
          <w:color w:val="000000"/>
          <w:vertAlign w:val="superscript"/>
        </w:rPr>
        <w:t>22 </w:t>
      </w:r>
      <w:r>
        <w:rPr>
          <w:rFonts w:ascii="Times New Roman"/>
          <w:b w:val="false"/>
          <w:i w:val="false"/>
          <w:color w:val="000000"/>
          <w:sz w:val="28"/>
        </w:rPr>
        <w:t>Сочлененный автобус – автобус, состоящий из 2 или более жестких шарнирно соединенных</w:t>
      </w:r>
      <w:r>
        <w:br/>
      </w:r>
      <w:r>
        <w:rPr>
          <w:rFonts w:ascii="Times New Roman"/>
          <w:b w:val="false"/>
          <w:i w:val="false"/>
          <w:color w:val="000000"/>
          <w:sz w:val="28"/>
        </w:rPr>
        <w:t>
</w:t>
      </w:r>
      <w:r>
        <w:rPr>
          <w:rFonts w:ascii="Times New Roman"/>
          <w:b w:val="false"/>
          <w:i w:val="false"/>
          <w:color w:val="000000"/>
          <w:sz w:val="28"/>
        </w:rPr>
        <w:t>между собой секций так, что обеспечивается перемещение пассажиров из одной секции в</w:t>
      </w:r>
      <w:r>
        <w:br/>
      </w:r>
      <w:r>
        <w:rPr>
          <w:rFonts w:ascii="Times New Roman"/>
          <w:b w:val="false"/>
          <w:i w:val="false"/>
          <w:color w:val="000000"/>
          <w:sz w:val="28"/>
        </w:rPr>
        <w:t>
</w:t>
      </w:r>
      <w:r>
        <w:rPr>
          <w:rFonts w:ascii="Times New Roman"/>
          <w:b w:val="false"/>
          <w:i w:val="false"/>
          <w:color w:val="000000"/>
          <w:sz w:val="28"/>
        </w:rPr>
        <w:t>другую.</w:t>
      </w:r>
      <w:r>
        <w:br/>
      </w:r>
      <w:r>
        <w:rPr>
          <w:rFonts w:ascii="Times New Roman"/>
          <w:b w:val="false"/>
          <w:i w:val="false"/>
          <w:color w:val="000000"/>
          <w:sz w:val="28"/>
        </w:rPr>
        <w:t>
</w:t>
      </w:r>
      <w:r>
        <w:rPr>
          <w:rFonts w:ascii="Times New Roman"/>
          <w:b w:val="false"/>
          <w:i w:val="false"/>
          <w:color w:val="000000"/>
          <w:vertAlign w:val="superscript"/>
        </w:rPr>
        <w:t>23 </w:t>
      </w:r>
      <w:r>
        <w:rPr>
          <w:rFonts w:ascii="Times New Roman"/>
          <w:b w:val="false"/>
          <w:i w:val="false"/>
          <w:color w:val="000000"/>
          <w:sz w:val="28"/>
        </w:rPr>
        <w:t>Микроавтобус – одноэтажный автобус с числом мест для сидения не более 17, включая</w:t>
      </w:r>
      <w:r>
        <w:br/>
      </w:r>
      <w:r>
        <w:rPr>
          <w:rFonts w:ascii="Times New Roman"/>
          <w:b w:val="false"/>
          <w:i w:val="false"/>
          <w:color w:val="000000"/>
          <w:sz w:val="28"/>
        </w:rPr>
        <w:t>
</w:t>
      </w:r>
      <w:r>
        <w:rPr>
          <w:rFonts w:ascii="Times New Roman"/>
          <w:b w:val="false"/>
          <w:i w:val="false"/>
          <w:color w:val="000000"/>
          <w:sz w:val="28"/>
        </w:rPr>
        <w:t>место водителя.</w:t>
      </w:r>
      <w:r>
        <w:br/>
      </w:r>
      <w:r>
        <w:rPr>
          <w:rFonts w:ascii="Times New Roman"/>
          <w:b w:val="false"/>
          <w:i w:val="false"/>
          <w:color w:val="000000"/>
          <w:sz w:val="28"/>
        </w:rPr>
        <w:t>
</w:t>
      </w:r>
      <w:r>
        <w:rPr>
          <w:rFonts w:ascii="Times New Roman"/>
          <w:b w:val="false"/>
          <w:i w:val="false"/>
          <w:color w:val="000000"/>
          <w:vertAlign w:val="superscript"/>
        </w:rPr>
        <w:t>24 </w:t>
      </w:r>
      <w:r>
        <w:rPr>
          <w:rFonts w:ascii="Times New Roman"/>
          <w:b w:val="false"/>
          <w:i w:val="false"/>
          <w:color w:val="000000"/>
          <w:sz w:val="28"/>
        </w:rPr>
        <w:t>Технически допустимая максимальная масса – установленная изготовителем максимальная</w:t>
      </w:r>
      <w:r>
        <w:br/>
      </w:r>
      <w:r>
        <w:rPr>
          <w:rFonts w:ascii="Times New Roman"/>
          <w:b w:val="false"/>
          <w:i w:val="false"/>
          <w:color w:val="000000"/>
          <w:sz w:val="28"/>
        </w:rPr>
        <w:t>
</w:t>
      </w:r>
      <w:r>
        <w:rPr>
          <w:rFonts w:ascii="Times New Roman"/>
          <w:b w:val="false"/>
          <w:i w:val="false"/>
          <w:color w:val="000000"/>
          <w:sz w:val="28"/>
        </w:rPr>
        <w:t>масса транспортного средства со снаряжением, пассажирами и грузом, обусловленная его</w:t>
      </w:r>
      <w:r>
        <w:br/>
      </w:r>
      <w:r>
        <w:rPr>
          <w:rFonts w:ascii="Times New Roman"/>
          <w:b w:val="false"/>
          <w:i w:val="false"/>
          <w:color w:val="000000"/>
          <w:sz w:val="28"/>
        </w:rPr>
        <w:t>
</w:t>
      </w:r>
      <w:r>
        <w:rPr>
          <w:rFonts w:ascii="Times New Roman"/>
          <w:b w:val="false"/>
          <w:i w:val="false"/>
          <w:color w:val="000000"/>
          <w:sz w:val="28"/>
        </w:rPr>
        <w:t>конструкцией и заданными характеристиками.</w:t>
      </w:r>
      <w:r>
        <w:br/>
      </w:r>
      <w:r>
        <w:rPr>
          <w:rFonts w:ascii="Times New Roman"/>
          <w:b w:val="false"/>
          <w:i w:val="false"/>
          <w:color w:val="000000"/>
          <w:sz w:val="28"/>
        </w:rPr>
        <w:t>
</w:t>
      </w:r>
      <w:r>
        <w:rPr>
          <w:rFonts w:ascii="Times New Roman"/>
          <w:b w:val="false"/>
          <w:i w:val="false"/>
          <w:color w:val="000000"/>
          <w:sz w:val="28"/>
        </w:rPr>
        <w:t>В случае полуприцепов и прицепов с центрально расположенной осью (осями) под технически</w:t>
      </w:r>
      <w:r>
        <w:br/>
      </w:r>
      <w:r>
        <w:rPr>
          <w:rFonts w:ascii="Times New Roman"/>
          <w:b w:val="false"/>
          <w:i w:val="false"/>
          <w:color w:val="000000"/>
          <w:sz w:val="28"/>
        </w:rPr>
        <w:t>
</w:t>
      </w:r>
      <w:r>
        <w:rPr>
          <w:rFonts w:ascii="Times New Roman"/>
          <w:b w:val="false"/>
          <w:i w:val="false"/>
          <w:color w:val="000000"/>
          <w:sz w:val="28"/>
        </w:rPr>
        <w:t>допустимой максимальной массой принимается статическая вертикальная нагрузка,</w:t>
      </w:r>
      <w:r>
        <w:br/>
      </w:r>
      <w:r>
        <w:rPr>
          <w:rFonts w:ascii="Times New Roman"/>
          <w:b w:val="false"/>
          <w:i w:val="false"/>
          <w:color w:val="000000"/>
          <w:sz w:val="28"/>
        </w:rPr>
        <w:t>
</w:t>
      </w:r>
      <w:r>
        <w:rPr>
          <w:rFonts w:ascii="Times New Roman"/>
          <w:b w:val="false"/>
          <w:i w:val="false"/>
          <w:color w:val="000000"/>
          <w:sz w:val="28"/>
        </w:rPr>
        <w:t>передаваемая на грунт осью или осями максимально загруженного сцепленного с тягачом</w:t>
      </w:r>
      <w:r>
        <w:br/>
      </w:r>
      <w:r>
        <w:rPr>
          <w:rFonts w:ascii="Times New Roman"/>
          <w:b w:val="false"/>
          <w:i w:val="false"/>
          <w:color w:val="000000"/>
          <w:sz w:val="28"/>
        </w:rPr>
        <w:t>
</w:t>
      </w:r>
      <w:r>
        <w:rPr>
          <w:rFonts w:ascii="Times New Roman"/>
          <w:b w:val="false"/>
          <w:i w:val="false"/>
          <w:color w:val="000000"/>
          <w:sz w:val="28"/>
        </w:rPr>
        <w:t>полуприцепа и прицепа с центрально расположенной осью (осями).</w:t>
      </w:r>
    </w:p>
    <w:bookmarkStart w:name="z86" w:id="13"/>
    <w:p>
      <w:pPr>
        <w:spacing w:after="0"/>
        <w:ind w:left="0"/>
        <w:jc w:val="both"/>
      </w:pPr>
      <w:r>
        <w:rPr>
          <w:rFonts w:ascii="Times New Roman"/>
          <w:b w:val="false"/>
          <w:i w:val="false"/>
          <w:color w:val="000000"/>
          <w:sz w:val="28"/>
        </w:rPr>
        <w:t xml:space="preserve">
ПРИЛОЖЕНИЕ № 26          </w:t>
      </w:r>
      <w:r>
        <w:br/>
      </w:r>
      <w:r>
        <w:rPr>
          <w:rFonts w:ascii="Times New Roman"/>
          <w:b w:val="false"/>
          <w:i w:val="false"/>
          <w:color w:val="000000"/>
          <w:sz w:val="28"/>
        </w:rPr>
        <w:t>
к Решению Комиссии Таможенного союза</w:t>
      </w:r>
      <w:r>
        <w:br/>
      </w:r>
      <w:r>
        <w:rPr>
          <w:rFonts w:ascii="Times New Roman"/>
          <w:b w:val="false"/>
          <w:i w:val="false"/>
          <w:color w:val="000000"/>
          <w:sz w:val="28"/>
        </w:rPr>
        <w:t xml:space="preserve">
от 20 сентября 2010 г. № 378    </w:t>
      </w:r>
    </w:p>
    <w:bookmarkEnd w:id="13"/>
    <w:bookmarkStart w:name="z87" w:id="14"/>
    <w:p>
      <w:pPr>
        <w:spacing w:after="0"/>
        <w:ind w:left="0"/>
        <w:jc w:val="both"/>
      </w:pPr>
      <w:r>
        <w:rPr>
          <w:rFonts w:ascii="Times New Roman"/>
          <w:b w:val="false"/>
          <w:i w:val="false"/>
          <w:color w:val="000000"/>
          <w:sz w:val="28"/>
        </w:rPr>
        <w:t>
</w:t>
      </w:r>
      <w:r>
        <w:rPr>
          <w:rFonts w:ascii="Times New Roman"/>
          <w:b/>
          <w:i w:val="false"/>
          <w:color w:val="000000"/>
          <w:sz w:val="28"/>
        </w:rPr>
        <w:t>                      КЛАССИФИКАТОР</w:t>
      </w:r>
      <w:r>
        <w:br/>
      </w:r>
      <w:r>
        <w:rPr>
          <w:rFonts w:ascii="Times New Roman"/>
          <w:b w:val="false"/>
          <w:i w:val="false"/>
          <w:color w:val="000000"/>
          <w:sz w:val="28"/>
        </w:rPr>
        <w:t>
          </w:t>
      </w:r>
      <w:r>
        <w:rPr>
          <w:rFonts w:ascii="Times New Roman"/>
          <w:b/>
          <w:i w:val="false"/>
          <w:color w:val="000000"/>
          <w:sz w:val="28"/>
        </w:rPr>
        <w:t>марок дорожных транспортных средств</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11377"/>
      </w:tblGrid>
      <w:tr>
        <w:trPr>
          <w:trHeight w:val="46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bl>
    <w:tbl>
      <w:tblPr>
        <w:tblW w:w="0" w:type="auto"/>
        <w:tblCellSpacing w:w="0" w:type="auto"/>
        <w:tblBorders>
          <w:top w:val="none"/>
          <w:left w:val="none"/>
          <w:bottom w:val="none"/>
          <w:right w:val="none"/>
          <w:insideH w:val="none"/>
          <w:insideV w:val="none"/>
        </w:tblBorders>
      </w:tblPr>
      <w:tblGrid>
        <w:gridCol w:w="1094"/>
        <w:gridCol w:w="11406"/>
      </w:tblGrid>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ABARTH</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 CARS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ACERBI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ACKERMANN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ACTM</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ACURA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ADIVA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ADLY</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ADR TRAILERS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ADRIA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AEON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AERMACCHI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AJP</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AJS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ALBAR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ALFA ROMEO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 RIZA USTA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ALLIGATOR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ALPINA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ALPINE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AMC</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AMERICAN EAGLE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AMMANN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ANKAI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ANNABURGER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APRILIA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ARCTIC CAT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ARDOR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ARIEL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ARQIN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ARTEGA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ASCARI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ASIA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ASTON MARTIN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ATEK</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ATK</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ATLAS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ATLAS HONDA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AUDI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AUSTIN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AUTOSAN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AVIA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AVTOTREIDING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BAJAJ</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BALKANCAR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BALTMOTORS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BAMX</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BAROSSA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BARYVAL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BAW</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BAZ</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BEIFANG BENCHI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BELAZ</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BENALU</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BENELLI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BENNCHE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BENTLEY</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BERGER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BIG BEAR CHOPPERS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BIG DOG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BIMOTA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BITTER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BLATA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BMW</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BOBCAT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BOCKMANN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BODEX</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BOGDAN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BOMAG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BOOM TRIKES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BOVA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BPG RECREATIONAL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BRAMMO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BRIAB</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BRILLIANCE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BRISTOL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BROOKE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BROSHUIS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BSA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BSLT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BSS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BUCCIMOTO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BUELL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BUGATTI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BUICK</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BURG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BYD</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CADILLAC</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CAGIVA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CALIFORNIA SCOOTER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CALLAWAY</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CAMC</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CAMPTOURIST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CAN-AM</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CARBODIES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CARGOBIKE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CARNEHL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CATERHAM</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CATERPILLAR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CCM</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CECTEK</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CFMOTO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 RACING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CHAMPION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CHANG JIANG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CHANGAN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CHANGFENG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CHANGHE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CHANGLIN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CHENGGONG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CHEREAU</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CHERY</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CHEVAL LIBERTE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CHEVROLET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CHRYSLER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CIFA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CIMC</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CIMC SILVERGREEN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CITROEN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CIZETA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COBRA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COGGIOLA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CPI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CR&amp;S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DACIA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DADI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DAEWOO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DAF</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DAIHATSU</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DAIMLER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DALLAS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DATSUN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 TOMASO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DELOREAN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DEMAG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DERWAYS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DKW</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DODGE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DOLL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DONGFENG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DONINVEST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DONKERVOORT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DOOSAN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DRESSTA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DYNAPAC</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E-MAX</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E-TON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ETROPOLIS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EAGLE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EAGLE WING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ECOSSE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EDUARD</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EFINI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EIGENBAU</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ELFIN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ERAZ</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EBR (ERIK BUELL RACING)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ESPERO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EXCALIBUR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EXPLORER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FACTORY BIKE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FANTIC</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FAUN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FAW</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FAYMONVILLE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FELDBINDER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FERRARI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FGR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FIAT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FIAT-HITACHI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FIAT KOBELCO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FIORI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FISCHER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FISKER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FLIEGL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FOKAMO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FORD</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FOSTI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FOTON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FREIGHTLINER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FRUEHAUF</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FSM</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FSO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FUCHS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FUQI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FURUKAWA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GARELLI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GASVI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GAZ</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GEELY</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GENERAL MOTORS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GENERIC</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GENUINE SCOOTER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GIANT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GIANTCO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GILERA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GMC</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GOFA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GOLDEN DRAGON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GONOW</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GOODWILL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GOVECS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GRAY&amp;ADAMS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GRC MOTO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GREAT WALL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GREENTRANS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GROENEWEGEN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GROVE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GRUNWALD</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GRYPHON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GUMPERT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GURLESENYIL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HAFEI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HAIMA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HALLER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HAMM</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HANIX</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HANOMAG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HANWOO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HAOJIN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HAPERT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HARLEY-DAVIDSON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HBM-NOBAS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HDM</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HEADBANGER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HEALEY</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HENDRICKS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HERCULES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HERO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HERO ELECTRIC</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HERO HONDA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HESKETH</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HFR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HIDROMEK</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HIGER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HIGHLAND</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HINDUSTAN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HINO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HISUN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HITACHI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HM</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HOBBS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HOLDEN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HONDA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HONGYAN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HORCH</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HOREX</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HOWO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POWER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HUANDA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HUANGHAI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HUMBAUR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HUMMER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HUSABERG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HUSQVARNA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HYDREMA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HYOSUNG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HYUNDAI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IFA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IKARBUS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IKARUS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INDIAN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INFINITI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INNOCENTI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INNOSCOOTER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INTERNATIONAL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INTERSTATE 1</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INTREPID</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INVICTA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IPV</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IRAN KHODRO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IRBIS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IRISBUS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ISDERA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ISUZU</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ITALJET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IVECO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IZH</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IZUKA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JAC</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JAGUAR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JAWA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JCB</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JEEP</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JELCZ</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JIALING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JIANGLING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JIANGNAN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JIANSHE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JINBEI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JINCHENG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JINLUN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JOHN DEERE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JOHNNY PAG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JONWAY</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JORDAN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JRL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JUEJIN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JUKI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JUMBO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JYKI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KABIRDASS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KAMAZ</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KANGDA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KANUNI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KASINSKI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KASSBOHRER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KATO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KAVZ</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KAWASAKI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KEEWAY</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KEL-BERG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KENWORTH</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KINETIC</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KING LONG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KINROAD</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KIP</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KOBELCO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KOGEL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KOENIGSEGG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KOMATSU</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KRAMER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KRAZ</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KRONE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KRUPP</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KTM</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KUBOTA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KUFER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KYMCO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LADA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LAMBERET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LAMBORGHINI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LAMBRETTA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LANCIA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LAND ROVER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LANDWIND</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LANGENDORF</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LANGFELD</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LATRE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LAUGE JENSEN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LAVERDA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LAZ</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LDV</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LECTRIX</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LEHMAN TRIKES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LEM</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LEONHARDT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LEXUS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LEYLAND</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LIAZ</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LIDER TRADE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LIEBHERR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LIFAN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LINCOLN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LINHAI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LINTRAILERS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LIUGONG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LOCATELLI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LOHIA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LOHR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LONCIN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LONKING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LOTUS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LUAZ</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LUNA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LUXGEN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LYNX</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MACBOR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MACK</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MAGIRUS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MAGNI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MAHINDRA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MAISONNEUVE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MALAGUTI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MANAC-AUTO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MANITOU</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MARCOPOLO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MARCOS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MARINE TURBINE TECHNOLOGIES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MARLIN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MARUSSIA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MARUTI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MASERATI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MAVIZEN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MAYBACH</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MAZ</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MAZDA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MBK</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MBS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MCLAREN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MEGA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MEGELLI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MEILLER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MENCI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MERCEDES-BENZ</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MERCURY</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MERLO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METISSE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METROCAB</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METSAN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MEUSBURGER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MIDUAL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MIKILON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MINELLI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MINSK</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MISSION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MITSUBISHI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MITSUOKA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MODENAS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MONDIAL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MONTE CARLO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MONTESA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MONTRACON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MORGAN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MOSKVICH</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MOTO GUZZI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MOTO MORINI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MOTOCZYSZ</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MOTORHISPANIA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MUDAN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MULTICAR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MUZ</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MV AGUSTA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MZKT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NARKO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NCR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NEANDER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NEOPLAN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NESS MOTORCYCLES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 HOLLAND</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NEXUS MOTORS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NIPPONIA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NISSAN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NOBLE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NOOTEBOOM</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NORDIC TANK</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NORTON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NYSA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O&amp;K</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O.ME.P.S.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 MECC</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OLDSMOBILE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OLTCIT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OMT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OPEL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ORION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OSCA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OTOSAN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PACTON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PAGANI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PALFINGER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PANNONIA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PANOZ</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PANTHER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PARCISA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PAYKAN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PAZ</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PERAVES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PERODUA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PETERBILT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PEUGEOT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PGO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PIAGGIO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PITSTER PRO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PKW</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PLYMOUTH</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PNO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POLARIS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POLINI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POLONEZ</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PONSSE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PONTIAC</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PORSCHE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POWERCAT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PRAGA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PRC (PRO RACING CYCLES)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PCW (PRECISION CYCLE WORKS)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PREMIER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PRIM-BALL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PROTON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PUCH</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PUMA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PUTZMEISTER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QINGQI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QLINK</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QOROS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QUANTYA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QVALE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RAF</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RANGE ROVER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RAVI PIAGGIO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RED WING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REDNECK</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RELIANT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RENAISSANCE CARS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RENAULT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RENDERS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RESPO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RHINO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RIDLEY</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RIEJU</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RINSPEED</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ROAD HOPPER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ROBUR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ROEHR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ROHR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ROKON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ROLFO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ROLLS-ROYCE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RONART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ROVER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ROYAL ENFIELD</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RUCKER PERFORMANCE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SAAB</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SACHS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SACIM</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SALEEN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SAMRO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SAMSUNG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SAMURAI CHOPPER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SANGLAS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SANTANA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SANY</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SATURN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SAXON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SCANIA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SCHMITZ</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SCHWARZMULLER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SCHWINN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SCION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SCORPA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SDLG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SEAT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SEAZ</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SENKE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SETRA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SHAANXI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SHANTUI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SHELBY</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SHENLONG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SHERCO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SHIFENG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SHOKEL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SHORELANDER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SHUANGHUAN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SINOMACH</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SISU</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SKI-DOO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SKIF</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SKODA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SKYTEAM</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SMART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SOKON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SOMMER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SOUEAST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SPECTRE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SPIER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SPYKER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SSANGYONG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STANDBIKE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STEELBEAR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STEINSBERGER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STELS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STEMA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STILL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SUBARU</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SUCKER PUNCH SALLYS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SUKIDA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SUNDIRO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SUNLONG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SUPER MOTOR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SUZUKI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SYM</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SYRENA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TADANO FAUN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TALBOT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TARPAN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TARSUS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TATA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TATRA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TAURAS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TAURIS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TAYO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TCM</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TEMSA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TEREX</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TERRA MODENA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TESLA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TGB</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TIANMA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TIANYE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TIGER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TIKI TREILER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TIMBERJACK</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TITAN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TM RACING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TOFAS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TOMBERLIN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TOMOS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TONAR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TORGAU</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TOYOTA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TRABANT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TRACK</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TRAIL KING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TRAILOR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TRAVERTSON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TRIUMPH</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TROLL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TROLZA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TSR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TURBO’S HOET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TVR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TVS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UAZ</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UDS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UM</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UNIMOG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URAL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UTILITY</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VALMET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 HOOL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 VEEN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VAUXHALL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VAZ</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VECTOR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VECTRIX</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VELI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VENTO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VENTURI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VESPA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VIBERTI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VIBROMAX</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VICTORY</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VIPER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VMZ</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VOGELE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VOLKSWAGEN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VOLVO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VORTEX</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VUKA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WABASH</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WACKER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WAKAN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WARTBURG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WESTFIELD</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WIELTON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WIESMANN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WILK</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WILLIG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WIRTGEN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WITZCO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MOTORS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WULING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XCG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XCMG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XIN KAI</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XINGYUE</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XMOTOS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YAMAHA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YANMAR</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YIBEN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YOBYKES</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YORK</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YUGO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YUTONG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ZANELLA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ZASLAW</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ZASTAVA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ZAZ</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ZENVO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ZEST</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ZHONG TONG</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ZIL</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ZNEN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ZONDA</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ZONGSHEN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ZOOMLION</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ZUK</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ZUNDAPP</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ZX AUTO</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АВТОМАСТЕР</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АМКОДОР</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БАЛТСПЕЦМАШ</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БЕЦЕМА</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БОГДАН-СПЕЦАВТОТЕХНИКА</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ВЗТМ</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 СОДРУЖЕСТВО</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ГРАЗ</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ДЕСНА</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ДИЗЕЛЬ-ТС</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ИВАНОВЕЦ</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КИРОВЕЦ</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ЛТЗ</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МАРЗ</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МТЗ</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НЕМАН </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НЕФАЗ</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ПТЗ</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ПТК</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РОАЗ</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РУССКАЯ МЕХАНИКА</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СЗАП</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СПЕЦПРИЦЕП</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ТАГАЗ</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ТВЭКС</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ТРАНСМАШ</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ТУШИНО-АВТО</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ЧСДМ</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ЭО</w:t>
            </w:r>
          </w:p>
        </w:tc>
      </w:tr>
      <w:tr>
        <w:trPr>
          <w:trHeight w:val="465" w:hRule="atLeast"/>
        </w:trPr>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bl>
    <w:p>
      <w:pPr>
        <w:spacing w:after="0"/>
        <w:ind w:left="0"/>
        <w:jc w:val="both"/>
      </w:pPr>
      <w:r>
        <w:rPr>
          <w:rFonts w:ascii="Times New Roman"/>
          <w:b w:val="false"/>
          <w:i w:val="false"/>
          <w:color w:val="000000"/>
          <w:sz w:val="28"/>
        </w:rPr>
        <w:t>                                                          ».</w:t>
      </w:r>
    </w:p>
    <w:bookmarkStart w:name="z88" w:id="15"/>
    <w:p>
      <w:pPr>
        <w:spacing w:after="0"/>
        <w:ind w:left="0"/>
        <w:jc w:val="both"/>
      </w:pPr>
      <w:r>
        <w:rPr>
          <w:rFonts w:ascii="Times New Roman"/>
          <w:b w:val="false"/>
          <w:i w:val="false"/>
          <w:color w:val="000000"/>
          <w:sz w:val="28"/>
        </w:rPr>
        <w:t>
      2. В Инструкции о порядке заполнения таможенной декларации на транспортное средство,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14 октября 2010 г. № 422:</w:t>
      </w:r>
      <w:r>
        <w:br/>
      </w:r>
      <w:r>
        <w:rPr>
          <w:rFonts w:ascii="Times New Roman"/>
          <w:b w:val="false"/>
          <w:i w:val="false"/>
          <w:color w:val="000000"/>
          <w:sz w:val="28"/>
        </w:rPr>
        <w:t>
</w:t>
      </w:r>
      <w:r>
        <w:rPr>
          <w:rFonts w:ascii="Times New Roman"/>
          <w:b w:val="false"/>
          <w:i w:val="false"/>
          <w:color w:val="000000"/>
          <w:sz w:val="28"/>
        </w:rPr>
        <w:t>
      а) абзац третий </w:t>
      </w:r>
      <w:r>
        <w:rPr>
          <w:rFonts w:ascii="Times New Roman"/>
          <w:b w:val="false"/>
          <w:i w:val="false"/>
          <w:color w:val="000000"/>
          <w:sz w:val="28"/>
        </w:rPr>
        <w:t>пункта 2</w:t>
      </w:r>
      <w:r>
        <w:rPr>
          <w:rFonts w:ascii="Times New Roman"/>
          <w:b w:val="false"/>
          <w:i w:val="false"/>
          <w:color w:val="000000"/>
          <w:sz w:val="28"/>
        </w:rPr>
        <w:t xml:space="preserve"> после слова «Номера» дополнить словами «, марки и модели»;</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шестой после предложения первого дополнить предложением следующего содержания: «В отношении автомобильных транспортных средств, прицепов и полуприцепов указывается наименование марки в соответствии с классификатором марок дорожных транспортных средств.»;</w:t>
      </w:r>
      <w:r>
        <w:br/>
      </w:r>
      <w:r>
        <w:rPr>
          <w:rFonts w:ascii="Times New Roman"/>
          <w:b w:val="false"/>
          <w:i w:val="false"/>
          <w:color w:val="000000"/>
          <w:sz w:val="28"/>
        </w:rPr>
        <w:t>
</w:t>
      </w:r>
      <w:r>
        <w:rPr>
          <w:rFonts w:ascii="Times New Roman"/>
          <w:b w:val="false"/>
          <w:i w:val="false"/>
          <w:color w:val="000000"/>
          <w:sz w:val="28"/>
        </w:rPr>
        <w:t>
      в абзаце седьмом слова «тип ТСМП (тягач, прицеп, полуприцеп, контейнер, локомотив, вагон, цистерна, паром и др.)» заменить словами «наименование типа ТСМП в соответствии с классификатором типов транспортных средств международной перевозки».</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