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96e83" w14:textId="0e96e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организационной структуре механизма, обеспечивающего выполнение плана мероприятий по реализации Основных направлений развития механизма "единого окна" в системе регулирования внешнеэкономической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28 сентября 2015 года № 124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6.1 раздела XII плана мероприятий по реализации Основных направлений развития механизма «единого окна» в системе регулирования внешнеэкономической деятельности,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8 мая 2015 г. № 19,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организационной структуре механизма, обеспечивающего выполнение плана мероприятий по реализации Основных направлений развития механизма «единого окна» в системе регулирования внешнеэкономической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Создать рабочую группу по выполнению плана мероприятий по реализации Основных направлений развития механизма «единого окна» в системе регулирования внешнеэкономической деятельности (далее – рабочая группа).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</w:t>
      </w:r>
      <w:r>
        <w:rPr>
          <w:rFonts w:ascii="Times New Roman"/>
          <w:b w:val="false"/>
          <w:i w:val="false"/>
          <w:color w:val="ff0000"/>
          <w:sz w:val="28"/>
        </w:rPr>
        <w:t xml:space="preserve"> Утратил силу решением Коллегии Евразийской экономической комиссии от 13.02.2017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20 </w:t>
      </w:r>
      <w:r>
        <w:rPr>
          <w:rFonts w:ascii="Times New Roman"/>
          <w:b w:val="false"/>
          <w:i w:val="false"/>
          <w:color w:val="ff0000"/>
          <w:sz w:val="28"/>
        </w:rPr>
        <w:t>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Просить правительства государств – членов Евразийского экономического союза до 15 октября 2015 г. представить в Евразийскую экономическую комиссию кандидатуры для включения в состав рабочей группы в соответствии с критериями формирования состава рабочей группы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Руководителю рабочей группы до 28 октября 2015 г. сформировать состав рабочей группы и представить его для утверждения Коллегией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вступает в силу по истечении 10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Коллегии Евразийской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экономической комиссии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сентября 2015 г. № 124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об организационной структуре механизма, обеспечивающего</w:t>
      </w:r>
      <w:r>
        <w:br/>
      </w:r>
      <w:r>
        <w:rPr>
          <w:rFonts w:ascii="Times New Roman"/>
          <w:b/>
          <w:i w:val="false"/>
          <w:color w:val="000000"/>
        </w:rPr>
        <w:t>
выполнение плана мероприятий по реализации Основных направлений</w:t>
      </w:r>
      <w:r>
        <w:br/>
      </w:r>
      <w:r>
        <w:rPr>
          <w:rFonts w:ascii="Times New Roman"/>
          <w:b/>
          <w:i w:val="false"/>
          <w:color w:val="000000"/>
        </w:rPr>
        <w:t>
развития механизма «единого окна» в системе регулирования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
внешнеэкономической деятельности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Общие положения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разработано во исполнение пункта 6.1 раздела XII плана мероприятий по реализации Основных направлений развития механизма «единого окна» в системе регулирования внешнеэкономической деятельности,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8 мая 2015 г. № 19 (далее – план мероприятий), и пункта 6.1 детализированного плана на 2015 год по выполнению плана мероприятий по реализации Основных направлений развития механизма «единого окна» в системе регулирования внешнеэкономической деятельности,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4 февраля 2015 г. №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Основной целью создания механизма, обеспечивающего выполнение плана мероприятий (далее – механизм управления), является обеспечение согласованности действий государственных органов и организаций государств – членов Евразийского экономического союза (далее соответственно – государства-члены, Союз), регулирующих внешнеэкономическую деятельность, бизнес-сообщества и участников внешнеэкономической деятельности государств-членов в целях развития национальных механизмов «единого окна».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Описание механизма управления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Механизм управления представляет собой единую систему, состоящую из наднационального и национальных сегментов, обеспечивающих выполнение плана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 разделом XI плана мероприятий структура наднационального сегмента механизма управления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Совет Евразийской экономической комиссии (далее – Комиссия);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Коллегию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рабочую группу по реализации плана мероприятий (далее – рабочая группа);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экспертные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Структуры национальных сегментов механизма управления, а также полномочия и функции элементов таких структур устанавливаются законодательством государств-членов.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Рабочая группа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Рабочая группа в пределах своих полномочий выполняет следующие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подготовка проектов актов органов Союза, направленных на реализацию Основных направлений развития механизма «единого окна» в системе регулирования внешнеэкономической деятельности, одобренных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29 мая 2014 г. № 68 (далее – Основные направления), и плана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организация выполнения плана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проведение мониторинга выполнения плана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организация разработки проектов детализированных планов на очередной год по выполнению плана мероприятий (далее – ежегодные детализированные планы).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Рабочая группа в своей деятельности руководствуется международными договорами и актами, составляющими право Союза, настоящим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(с учетом рекомендаций органов и специализированных учреждений Организации Объединенных Наций по созданию механизма «единого окна», а также государственных программ государств-членов по развитию внешнеэкономической деятельности).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Рабочая группа состоит из координационного совета рабочей группы и тематических блоков рабочей группы (далее – тематические блоки).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Состав рабочей группы утверждается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рабочей группы включаются представители Комиссии, государственных органов и организаций государств-членов, регулирующих внешнеэкономическую деятельность, а также бизнес-сообщества государств-членов.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состав координационного совета рабочей группы включаются: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руководитель рабочей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по 1 представителю от каждого государства-члена на уровне руководителя либо заместителя руководителя государственного органа исполнительной власти государства-члена, ответственного за развитие механизма «единого окна» в этом государстве;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руководители тематических блоков;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руководитель организационно-аналитической экспертной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с изменением, внесеным решением Коллегии Евразийской экономической комиссии от 13.02.2017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состав тематических блоков включаются: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от государств-членов: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государственных органов на уровне руководителей либо заместителей руководителей структурных подразделений этих органов или их уполномоченных организаций, деятельность которых непосредственно связана со сферой функционирования соответствующего тематического блока;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представители бизнес-сообщества;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от Комиссии – должностные лица и сотрудники департаментов Комиссии, сфера деятельности которых связана с функционированием соответствующего тематического блока.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Порядок деятельности рабочей группы определяется регламентом рабочей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рабочей группы утверждается руководителем рабочей группы.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Заседания рабочей группы могут проводиться как в очном режиме, так и в режиме видеоконференции: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полном составе;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составе координационного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составе отдельных тематических блоков.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Заседания рабочей группы проводятся по мере необходимости.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внесеным решением Коллегии Евразийской экономической комиссии от 13.02.2017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Заседания рабочей группы проводятся, как правило, в помещениях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Заседания могут проводиться в любом из государств-членов по решению рабочей группы, принимаемому на основе предложений членов рабочей группы. В этом случае принимающий уполномоченный орган государства-члена обеспечивает все необходимые условия для организации и проведения заседаний рабочей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Расходы, связанные с участием в деятельности рабочей группы должностных лиц и сотрудников Комиссии, а также представителей государственных органов и организаций государств-членов, несут направляющие их Комиссия и государственные органы (организации) соответственно.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участием в деятельности рабочей группы представителей научных и образовательных учреждений, общественных организаций, бизнес-сообщества государств-членов и независимых экспертов, указанные лица несут самостоятельно.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Руководитель рабочей группы: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руководит деятельностью рабочей группы и организует выполнение возложенных на рабочую группу задач;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возглавляет координационный совет рабочей группы;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утверждает повестку дня заседания рабочей группы, за исключением заседаний, проводимых в составе отдельных тематических блоков;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председательствует на заседаниях рабочей группы, за исключением заседаний, проводимых в составе отдельных тематических блоков;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 подписывает протоколы заседаний рабочей группы, за исключением заседаний, проводимых в составе отдельных тематических блоков;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е) определяет дату, время, место и формат проведения заседания рабочей группы, за исключением заседаний, проводимых в составе отдельных тематических блоков.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Руководитель рабочей группы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запрашивать у органов государственной власти государств-членов информацию по вопросам, связанным с выполнением плана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распределять работу между членами рабочей группы, а также между тематическими блоками.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Координационный совет рабочей группы: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разрабатывает предложения по определению стратегии осуществления деятельности по выполнению плана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координирует работу тематических блоков;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рассматривает итоги работы тематических блоков;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обеспечивает согласованность действий по выполнению плана мероприятий в государствах-членах;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 осуществляет контроль за подготовкой ежегодного детализированного плана и при необходимости готовит предложения по внесению изменений в план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е) рассматривает вопросы, касающиеся целесообразности привлечения Комиссией сторонних организаций для выполнения работ и оказания услуг по развитию механизма «единого окна» в рамках реализации плана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Члены координационного совета рабочей группы, являющиеся представителями государств-членов, организуют и координируют деятельность по выполнению плана мероприятий в своих государствах с учетом договоренностей, достигнутых в рамках работы рабочей группы.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Член координационного совета рабочей группы, являющийся представителем государства-члена, представляет согласованную позицию, выработанную координирующим (совещательным) органом своего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Член координационного совета рабочей группы, являющийся представителем государства-члена, имеет право в случае необходимости привлекать для участия в заседаниях координационного совета рабочей группы одного или нескольких представителей своего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Тематические блоки осуществляют деятельность в соответствии с перечнем работ согласно приложению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таможенное (по вопросам электронной таможни);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финансовое и налоговое (по вопросам оплаты и платежей, электронной коммерции);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регулятивное (по вопросам оборота разрешительных документов);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транспортное (по вопросам транспорта и логистики);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информационное (по вопросам информационных технологий).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Предложения по внесению изменений в указанный перечень работ рассматриваются рабочей группой и принимаются Коллегией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Для выполнения плана мероприятий и работ, указанных в перечне,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Положению, могут создаваться экспертные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В состав экспертных групп по направлениям деятельности тематических блоков включаются представители департаментов Комиссии, уполномоченных государственных органов и организаций, а также бизнес-сообщества государств-членов.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к работе экспертной группы могут привлекаться представители научных организаций и иные независимые эксперты.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Руководитель тематического блока является заместителем руководителя рабочей группы.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Руководитель тематического блока: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руководит деятельностью тематического блока и организует выполнение возложенных на тематический блок задач;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представляет предложения по формированию проекта ежегодного детализированного плана по соответствующему направлению;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представляет итоги работы тематического блока за отчетный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создает экспертные группы по согласованию с руководителем рабочей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 осуществляет контроль работы экспертных групп по соответствующему направлению;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подписывает протоколы заседаний рабочей группы, проводимых в составе соответствующего тематического блока;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ж) утверждает повестку дня, дату, время и место заседания, а также председательствует на заседаниях рабочей группы, проводимых в составе соответствующего тематического блока;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организует взаимодействие с координирующими (совещательными) органами, государственными органами и организациями, а также с бизнес-сообществами государств-членов по вопросам выполнения плана мероприятий, отнесенным к компетенции тематического блока.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Руководитель тематического блока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инициировать рассмотрение отдельных вопросов по направлениям деятельности тематического блока на заседаниях соответствующих консультативных органов и рабочих групп, созданных при Коллегии Комиссии, а также на заседаниях вспомогательных органов, созданных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в рамках компетенции этих органов и групп;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определять функции и задачи экспертных групп при их создании, а также критерии по формированию состава экспертных групп.</w:t>
      </w:r>
    </w:p>
    <w:bookmarkEnd w:id="8"/>
    <w:bookmarkStart w:name="z9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IV. Организационно-аналитическая экспертная группа</w:t>
      </w:r>
    </w:p>
    <w:bookmarkEnd w:id="9"/>
    <w:bookmarkStart w:name="z9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состав организационно-аналитической экспертной группы включаются представители департаментов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Состав такой группы утверждается руководителем рабочей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Организационно-техническое обеспечение деятельности организационно-аналитической экспертной группы осуществляется департаментом Комиссии, в компетенцию которого входят вопросы таможенного законодательства и правоприменительной практики.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Руководителем организационно-аналитической экспертной группы является должностное лицо департамента Комиссии, в компетенцию которого входят вопросы таможенного законодательства и правоприменительной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организационно-аналитической экспертной группы является заместителем руководителя рабочей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организационно-аналитической экспертной группы руководит деятельностью указанной экспертной группы и организует выполнение возложенных на нее задач.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организационно-аналитической экспертной группы по согласованию с руководителем рабочей группы проводит рабочие совещания с руководителями тематических блоков по вопросам выполнения плана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с изменениями, внесенными решением Коллегии Евразийской экономической комиссии от 13.02.2017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Организационно-аналитическая экспертная группа: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проводит аналитическую работу по выполнению плана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вносит предложения по распределению между тематическими блоками работ по реализации Основных направлений (развитие национальных механизмов «единого окна», сближение подходов к их развитию, взаимное признание электронных документов, организация информационного взаимодействия);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осуществляет мониторинг реализации Основных направлений и плана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осуществляет подготовку проектов приказов, предусматривающих определение департаментов Комиссии, ответственных за исполнение мероприятий, предусмотренных ежегодными детализированными планами;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осуществляет обобщение, свод и подготовку материалов по результатам деятельности экспертных групп для рассмотрения членами рабочей группы;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е) организует заседания рабочей группы, за исключением заседаний, проводимых в составе отдельных тематических блоков;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ж) обеспечивает решение общих организационных вопросов;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з) обеспечивает взаимодействие рабочей группы с координирующими (совещательными) органами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и) осуществляет организацию подготовки проекта ежегодного детализированного плана и проекта акта о внесении изменений в план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к) осуществляет подготовку материалов к заседаниям Коллегии и Совета Комиссии, Евразийского межправительственного совета, Высшего Евразийского экономического совета в рамках компетенции рабочей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Члены организационно-аналитической экспертной группы могут участвовать в заседаниях тематических блоков и экспертных групп.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Руководитель организационно-аналитической экспертной группы вправе представлять предложения: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руководителю рабочей группы – по составу организационно-аналитической экспертной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руководителям тематических блоков – по рассмотрению отдельных вопросов, связанных с выполнением плана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Руководитель организационно-аналитической экспертной группы вправе запрашивать у руководителей тематических блоков информацию о ходе работы соответствующих блоков для осуществления мониторинга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Положения.</w:t>
      </w:r>
    </w:p>
    <w:bookmarkEnd w:id="10"/>
    <w:bookmarkStart w:name="z1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V. Взаимодействие наднационального и национальных</w:t>
      </w:r>
      <w:r>
        <w:br/>
      </w:r>
      <w:r>
        <w:rPr>
          <w:rFonts w:ascii="Times New Roman"/>
          <w:b/>
          <w:i w:val="false"/>
          <w:color w:val="000000"/>
        </w:rPr>
        <w:t>
сегментов механизма управления</w:t>
      </w:r>
    </w:p>
    <w:bookmarkEnd w:id="11"/>
    <w:bookmarkStart w:name="z1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Взаимодействие наднационального и национальных сегментов механизма управления осуществляется на основании Договора о Евразийском экономическом союзе от 29 мая 2014 года, международных договоров и актов, составляющих право Союза, регулирующих порядок взаимодействия Комиссии с государствами-членами, а также в соответствии с настоящим Положением.</w:t>
      </w:r>
    </w:p>
    <w:bookmarkEnd w:id="12"/>
    <w:bookmarkStart w:name="z1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Положению об организационной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структуре механизма, обеспечивающего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выполнение плана мероприятий по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реализации Основных направлений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механизма «единого окна»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системе регулирования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внешнеэкономической деятельности  </w:t>
      </w:r>
    </w:p>
    <w:bookmarkEnd w:id="13"/>
    <w:bookmarkStart w:name="z1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работ для тематических блоков рабочей группы по выполнению</w:t>
      </w:r>
      <w:r>
        <w:br/>
      </w:r>
      <w:r>
        <w:rPr>
          <w:rFonts w:ascii="Times New Roman"/>
          <w:b/>
          <w:i w:val="false"/>
          <w:color w:val="000000"/>
        </w:rPr>
        <w:t>
плана мероприятий по реализации Основных направлений развития</w:t>
      </w:r>
      <w:r>
        <w:br/>
      </w:r>
      <w:r>
        <w:rPr>
          <w:rFonts w:ascii="Times New Roman"/>
          <w:b/>
          <w:i w:val="false"/>
          <w:color w:val="000000"/>
        </w:rPr>
        <w:t>
механизма «единого окна» в системе регулирования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</w:t>
      </w:r>
    </w:p>
    <w:bookmarkEnd w:id="14"/>
    <w:bookmarkStart w:name="z1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 Электронная таможня</w:t>
      </w:r>
    </w:p>
    <w:bookmarkEnd w:id="15"/>
    <w:bookmarkStart w:name="z1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Установление соответствия между государственными органами, организациями государств-членов, предоставляющими государственные услуги и сервисы в сфере таможенного регулирования.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Сбор данных: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о бизнес-процессах, возникающих при взаимодействии участников внешнеэкономической деятельности и таможенных органов государств – членов Евразийского экономического союза (далее соответственно – таможенные органы, государства-члены, Союз);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о документах и сведениях;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о международных договорах и актах, составляющих право Союза, нормативных правовых актах государств-членов в сфере таможенного регулирования;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о государственных программах государств-членов по совершенствованию таможенного регулирования.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Проведение анализа: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бизнес-процессов, возникающих при взаимодействии участников внешнеэкономической деятельности и таможенных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документов и сведений (на предмет избыточности и дублирования документов и сведений при совершении таможенных операций и осуществлении таможенного контроля);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международных договоров и актов, составляющих право Союза, нормативных правовых актов государств-членов, регламентирующих порядок совершения таможенных операций и осуществления таможенного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государственных программ государств-членов по совершенствованию таможенного регулирования;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 уровня развития электронного декларирования в государствах-членах.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Проведение анализа проблем межведомственного информационного взаимодействия государственных контролирующих органов, организаций государств-членов, возникающих при совершении таможенных операций и осуществлении таможенного контроля (в том числе при проведении таможенной проверки после выпуска товаров) и совместного контроля в пунктах пропуска.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Проведение консультаций, круглых столов с целью определения направлений совершенствования электронного декларирования, согласование подходов к развитию электронного декларирования в государствах-членах.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Разработка рекомендаций по оптимизации (с учетом соответствующих международных стандартов):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комплексного управления таможенной границей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межведомственного информационного взаимодействия государственных контролирующих органов, организаций государств-членов;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электронного декларирования в государствах-членах, порядка совершения таможенных операций и осуществления таможенного контроля (в том числе проведения таможенной проверки после выпуска товаров).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Развитие технологий автоматической регистрации таможенной декларации и автоматического выпуска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Подготовка предложений по внесению изменений в международные договоры и акты, составляющие право Союза, и нормативные правовые акты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Мониторинг и контроль выполнения плана мероприятий по реализации Основных направлений развития механизма «единого окна» в системе регулирования внешнеэкономической деятельности, утвержденного 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8 мая 2015 г. № 19 (далее – план мероприятий), в рамках компетенции соответствующего блока рабочей группы. </w:t>
      </w:r>
    </w:p>
    <w:bookmarkEnd w:id="16"/>
    <w:bookmarkStart w:name="z14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Оплата, платежи и электронная коммерция</w:t>
      </w:r>
    </w:p>
    <w:bookmarkEnd w:id="17"/>
    <w:bookmarkStart w:name="z1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Определение перечня государственных органов и организаций государств-членов, которые задействованы в информационном взаимодействии в сферах государственного налогового, валютного, регулирования, регулирования финансовых услуг (банковские, страховые), а также при осуществлении банковской и страховой видов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внесеным решением Коллегии Евразийской экономической комиссии от 13.02.2017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Установление соответствия между государственными органами, организациями государств-членов, предоставляющими схожие государственные услуги и сервисы в сферах государственного регулирования, указанных в пункте 1 настоящего раздела.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Сбор данных для проведения анализа в рамках сфер государственного регулирования,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раздела: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 бизнес-процессах;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о документах и сведениях;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о международных договорах и актах, составляющих право Союза, нормативных правовых актах государств-членов, регламентирующих бизнес-процессы и оборот документов и сведений при совершении финансовых операций (проведение оплаты по международным внешнеторговым договорам, уплаты таможенных пошлин, налогов, сборов и т.п);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о государственных программах государств-членов по совершенствованию государственных услуг и процедур в сферах государственного регулирования,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раздела.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Проведение анализа: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бизнес-процессов, возникающих при информационном взаимодействии на уровнях В2В, В2G/G2В, G2G и S2S;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документов и сведений (на предмет избыточности и дублирования документов и сведений при формировании и обороте инвойсов, контрактов, форм отчетности и др.);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международных договоров и актов, составляющих право Союза, нормативных правовых актов государств-членов, регламентирующих предоставление финансовых услуг (банковских, страховых), проведение валютного контроля, порядок совершения международных платежей, уплаты таможенных платежей, налогов и сборов;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государственных программ государств-членов по совершенствованию государственных услуг и процедур в сферах государственного регулирования,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раздела.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внесеным решением Коллегии Евразийской экономической комиссии от 13.02.2017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Проведение консультаций, круглых столов в целях определения направлений по сближению требований нормативных правовых актов государств-членов (унификация, гармонизация или регламентация требований при выполнении бизнес-процессов, включая состав сведений электронных документов, необходимых для осуществления внешнеэкономической деятельности в государствах-членах).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Разработка рекомендаций по оптимизации (с учетом соответствующих международных стандартов):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перечня сведений в коммерческих и отчетно-контрольных документах;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порядков осуществления валютного, налогового, финансового регулирования;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уплаты таможенных платежей, налогов и сборов.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изменением, внесеным решением Коллегии Евразийской экономической комиссии от 13.02.2017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Подготовка предложений по созданию и развитию электронных платежных систем в механизме «единого окна».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Подготовка предложений по внесению изменений в международные договоры и акты, составляющие право Союза, и нормативные правовые акты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Мониторинг и контроль выполнения плана мероприятий в рамках компетенции соответствующего блока рабочей группы. </w:t>
      </w:r>
    </w:p>
    <w:bookmarkEnd w:id="18"/>
    <w:bookmarkStart w:name="z16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Разрешительные документы</w:t>
      </w:r>
    </w:p>
    <w:bookmarkEnd w:id="19"/>
    <w:bookmarkStart w:name="z16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Определение перечня государственных органов и организаций государств-членов, которые задействованы в информационном взаимодействии в сферах государственного нетарифного, технического регулирования, регулирования обращения лекарственных средств и медицинских изделий, применения санитарных, ветеринарно-санитарных, карантинных фитосанитарных мер, регулирования охраны и защиты прав на объекты интеллектуальной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Установление соответствия между государственными органами государств-членов, предоставляющими схожие государственные услуги и сервисы.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Сбор данных для проведения анализа в рамках сфер государственного регулирования,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раздела: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о бизнес-процессах;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о документах и сведениях;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о международных договорах и актах, составляющих право Союза, нормативных правовых актах государств-членов, касающихся вопросов, связанных с разрешительными документами при осуществлении государственного регулирования внешнеторговой деятельности государств-членов;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о государственных программах государств-членов по вопросам, связанным с разрешительными документами при осуществлении государственного регулирования внешнеторговой деятельности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Проведение анализа: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бизнес-процессов, возникающих при информационном взаимодействии на уровнях В2В, В2G/G2В, G2G и S2S;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документов и сведений (на предмет избыточности и дублирования документов и сведений при формировании и обороте разрешительных документов и др.);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международных договоров и актов, составляющих право Союза, нормативных правовых актов государств-членов, регламентирующих выдачу разрешительных документов, необходимых для осуществления экспортных, импортных и транзитных операций в отношении определенных категорий товаров, а также для проведения соответствующего вида контроля (надзора) в зависимости от категории товаров (санитарно-эпидемиологического и т.п.);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государственных программ государств-членов по совершенствованию государственных услуг и процедур по вопросам, связанным с разрешительными документами при осуществлении государственного регулирования внешнеторговой деятельности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Проведение консультаций, круглых столов в целях определения направлений по сближению требований нормативных правовых актов государств-членов (унификация, гармонизация или регламентация требований при выполнении бизнес-процессов, включая состав сведений электронных документов, необходимых для осуществления внешнеэкономической деятельности в государствах-членах).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Разработка рекомендаций по оптимизации (с учетом соответствующих международных стандартов):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перечня сведений в разрешительных документах;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порядков проведения санитарно-эпидемиологического надзора (контроля), ветеринарного, карантинного фитосанитарного контроля (надзора), а также контроля правомерности перемещения товаров, содержащих объекты интеллектуальной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Подготовка предложений по внесению изменений в международные договоры и акты, составляющие право Союза, и нормативные правовые акты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Мониторинг и контроль выполнения плана мероприятий в рамках компетенции соответствующего блока рабочей группы. </w:t>
      </w:r>
    </w:p>
    <w:bookmarkEnd w:id="20"/>
    <w:bookmarkStart w:name="z18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IV. Транспорт и логистика</w:t>
      </w:r>
    </w:p>
    <w:bookmarkEnd w:id="21"/>
    <w:bookmarkStart w:name="z18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Определение перечня государственных органов и организаций государств-членов, которые задействованы в информационном взаимодействии в сфере государственного регулирования транспорта и перевозок, а также при осуществлении видов деятельности по предоставлению транспортных и логистических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Сопоставление перечней государственных услуг и сервисов, предоставляемых государственными органами и организациями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Сбор данных для проведения анализа в рамках сферы государственного регулирования и видов деятельности, которые указаны в пункте 1 настоящего раздела: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о бизнес-процессах;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о документах и сведениях;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о международных договорах и актах, составляющих право Союза, нормативных правовых актах государств-членов, международных договорах государств-членов с третьими сторонами в области транспорта, развития инфраструктуры, пересечения границ и проведения транспортного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Проведение анализа: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бизнес-процессов, возникающих при информационном взаимодействии на уровнях В2В, В2G/G2В, G2G и S2S;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документов и сведений (на предмет избыточности и дублирования документов и сведений при совершении транспортно-логистических операций и осуществлении транспортного контроля);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международных договоров и актов, составляющих право Союза, нормативных правовых актов государств-членов, международных договоров государств-членов с третьими сторонами в области транспорта, развития инфраструктуры, пересечения границ и проведения транспортного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государственных программ государств-членов по совершенствованию государственных услуг и процедур в сфере государственного регулирования транспорта и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Проведение консультаций, круглых столов в целях определения направлений по сближению требований международных договоров и актов, составляющих право Союза, нормативных правовых актов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Разработка рекомендаций по оптимизации: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бизнес-процессов;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перечней документов, используемых при перемещении товаров и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перечня сведений в документах, необходимых для целей транспортного контроля (разрешения и т.д.);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порядка осуществления транспортного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Подготовка предложений по внесению изменений в международные договоры и акты, составляющие право Союза, и нормативные правовые акты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Мониторинг и контроль выполнения плана мероприятий в рамках компетенции соответствующего блока рабочей группы.</w:t>
      </w:r>
    </w:p>
    <w:bookmarkEnd w:id="22"/>
    <w:bookmarkStart w:name="z20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V. Информационные технологии</w:t>
      </w:r>
    </w:p>
    <w:bookmarkEnd w:id="23"/>
    <w:bookmarkStart w:name="z20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Определение перечня государственных органов и организаций государств-членов, ответственных за информатизацию в государствах-членах.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Сбор данных для формирования единой системы нормативно-справочной информации, содержащей необходимые сведения для осуществления в государствах-членах внешнеэкономической деятельности в рамках механизма «единого окна»: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о нормативных правовых актах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о справочниках и классификаторах, разрабатываемых и применяемых государствами-членами.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Проведение анализа существующих технологических подходов и информационных систем государств-членов на уровнях информационного взаимодействия В2G/G2B и G2G в целях актуализации перечня процедур межведомственного информационного взаимодействия (G2G) в рамках национальных механизмов «единого окна», а также подготовки рекомендаций по реализации типовых процедур G2G.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Унификация и гармонизация сведений из документов, необходимых для осуществления внешнеэкономической деятельности в государствах-членах, на основе общей модели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Проведение анализа подходов к построению архитектуры информационных систем, обеспечивающих оборот юридически значимых электронных документов и сведений в национальных механизмах «единого окна», в целях дальнейшей организации взаимодействия этих механизмов.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Применение технологии доверенной третьей стороны в целях придания юридической значимости электронным документам и сведениям, используемым в национальных механизмах «единого окна».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206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 . Применение возможностей передовых информационных систем и сервисов (бронирование отелей, авиабилетов, оценка обслуживания, навигация, мобильный банк).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Проведение анализа международных договоров и актов, составляющих право Союза, и нормативных правовых актов государств-членов в целях определения необходимости внесения в них изменений для обеспечения реализации межгосударственного информационного взаимодействия между национальными механизмами «единого окна».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Определение технической архитектуры и выработка технологических решений по реализации информационного взаимодействия между национальными механизмами «единого окна».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Разработка проектов актов, входящих в право Союза, обеспечивающих актуализацию перечня общих процессов в рамках Союза в части, касающейся функционирования национальных механизмов «единого окна», регламентации соответствующих общих процессов, а также развитие общей модели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Мониторинг процессов межгосударственного информационного взаимодействия в целях обеспечения функционирования национальных механизмов «единого окна».</w:t>
      </w:r>
    </w:p>
    <w:bookmarkEnd w:id="24"/>
    <w:bookmarkStart w:name="z21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В настоящем перечне используются следующие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«B2B» – информационное взаимодействие заинтересованных лиц между собой;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«B2G/G2B» – информационное взаимодействие между заинтересованными лицами, государственными органами и (или) уполномоченными организациями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«G2G» – межведомственное информационное взаимодействие;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«S2S» – межгосударственное информационное взаимодействие.</w:t>
      </w:r>
    </w:p>
    <w:bookmarkEnd w:id="25"/>
    <w:bookmarkStart w:name="z11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 Евразийской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экономической комиссии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сентября 2015 г. № 124 </w:t>
      </w:r>
    </w:p>
    <w:bookmarkEnd w:id="26"/>
    <w:bookmarkStart w:name="z11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КРИТЕРИИ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формирования состава рабочей группы по выполнению плана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мероприятий по реализации Основных направлений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механизма «единого окна» в системе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внешнеэкономической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Критерии формирования рабочей группы с изменением, внесенным решением Коллегии Евразийской экономической комиссии от 13.02.2017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20 </w:t>
      </w:r>
      <w:r>
        <w:rPr>
          <w:rFonts w:ascii="Times New Roman"/>
          <w:b w:val="false"/>
          <w:i w:val="false"/>
          <w:color w:val="ff0000"/>
          <w:sz w:val="28"/>
        </w:rPr>
        <w:t>(вступает в силу по истечении 30 календарных дней с даты его официального опубликования).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360"/>
        <w:gridCol w:w="3220"/>
        <w:gridCol w:w="2660"/>
        <w:gridCol w:w="4760"/>
      </w:tblGrid>
      <w:tr>
        <w:trPr>
          <w:trHeight w:val="30" w:hRule="atLeast"/>
        </w:trPr>
        <w:tc>
          <w:tcPr>
            <w:tcW w:w="3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 структуры  рабочей группы</w:t>
            </w:r>
          </w:p>
        </w:tc>
        <w:tc>
          <w:tcPr>
            <w:tcW w:w="3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</w:t>
            </w:r>
          </w:p>
        </w:tc>
        <w:tc>
          <w:tcPr>
            <w:tcW w:w="2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Максимальное количество представителей от государства – члена Евразийского экономического союза</w:t>
            </w:r>
          </w:p>
        </w:tc>
        <w:tc>
          <w:tcPr>
            <w:tcW w:w="4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формирования состава рабочей группы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360"/>
        <w:gridCol w:w="3220"/>
        <w:gridCol w:w="2660"/>
        <w:gridCol w:w="4760"/>
      </w:tblGrid>
      <w:tr>
        <w:trPr>
          <w:trHeight w:val="30" w:hRule="atLeast"/>
        </w:trPr>
        <w:tc>
          <w:tcPr>
            <w:tcW w:w="3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Координационный совет</w:t>
            </w:r>
          </w:p>
        </w:tc>
        <w:tc>
          <w:tcPr>
            <w:tcW w:w="3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координация деятельности рабочей группы по сферам регулирования и видам  экономической деятельности </w:t>
            </w:r>
          </w:p>
        </w:tc>
        <w:tc>
          <w:tcPr>
            <w:tcW w:w="2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либо заместитель руководителя государственного органа исполнительной власти государства – члена Евразийского экономического союза, ответственного за развитие механизма «единого окна» в своем государстве </w:t>
            </w:r>
          </w:p>
        </w:tc>
      </w:tr>
      <w:tr>
        <w:trPr>
          <w:trHeight w:val="30" w:hRule="atLeast"/>
        </w:trPr>
        <w:tc>
          <w:tcPr>
            <w:tcW w:w="3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 Тематический блок «Электронная таможня» </w:t>
            </w:r>
          </w:p>
        </w:tc>
        <w:tc>
          <w:tcPr>
            <w:tcW w:w="3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таможенное регулирование </w:t>
            </w:r>
          </w:p>
        </w:tc>
        <w:tc>
          <w:tcPr>
            <w:tcW w:w="2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каждый тематический блок рабочей группы должен включать представителей: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государств – членов Евразийского экономического союза или уполномоченных организаций, к сфере ведения которых относятся вопросы, непосредственно связанные с направлением деятельности, указанным в графе 2 настоящей таблицы;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бизнес-сообщества;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структурных подразделений таможенных органов, функциональная деятельность которых связана с направлением деятельности тематического блока.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представителей от государственных органов государств – членов Евразийского экономического союза и уполномоченных организаций – не ниже заместителя руководителя структурного подразделения (департамент, управление).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Представители государства – члена Евразийского экономического союза являются участниками работ по развитию национальных механизмов «единого окна» в соответствующей сфере регулирования либо по соответствующему виду деятельности</w:t>
            </w:r>
          </w:p>
        </w:tc>
      </w:tr>
      <w:tr>
        <w:trPr>
          <w:trHeight w:val="30" w:hRule="atLeast"/>
        </w:trPr>
        <w:tc>
          <w:tcPr>
            <w:tcW w:w="3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Тематический блок «Оплата, платежи и электронная коммерция»</w:t>
            </w:r>
          </w:p>
        </w:tc>
        <w:tc>
          <w:tcPr>
            <w:tcW w:w="3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валютное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банковское регулирование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страховое регулирование</w:t>
            </w:r>
          </w:p>
        </w:tc>
        <w:tc>
          <w:tcPr>
            <w:tcW w:w="2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3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Тематический блок «Разрешительные документы»</w:t>
            </w:r>
          </w:p>
        </w:tc>
        <w:tc>
          <w:tcPr>
            <w:tcW w:w="3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нетарифное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обращения лекарственных средств и медицинских изделий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санитарные, ветеринарно-санитарные, карантинные фитосанитарные 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интеллектуальная собственность</w:t>
            </w:r>
          </w:p>
        </w:tc>
        <w:tc>
          <w:tcPr>
            <w:tcW w:w="2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3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Тематический блок «Транспорт и логистика»</w:t>
            </w:r>
          </w:p>
        </w:tc>
        <w:tc>
          <w:tcPr>
            <w:tcW w:w="3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(автомобильный, водный, воздушный, железнодорожный, трубопроводный и др.)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логистика</w:t>
            </w:r>
          </w:p>
        </w:tc>
        <w:tc>
          <w:tcPr>
            <w:tcW w:w="2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3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Тематический блок «Информационные технологии»</w:t>
            </w:r>
          </w:p>
        </w:tc>
        <w:tc>
          <w:tcPr>
            <w:tcW w:w="3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государственные услуги</w:t>
            </w:r>
          </w:p>
        </w:tc>
        <w:tc>
          <w:tcPr>
            <w:tcW w:w="2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