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075c" w14:textId="a5b0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Решение Коллегии Евразийской экономической комиссии от 28 сентября 2015 года № 125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пунктами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2. Государствам – членам Евразийского экономического союза обеспечить закрепление в своем законодательстве возможности обмена электронными документами между используемыми государствами-членами системами электронного документооборота при взаимодействии органов государственной власти государств-членов между собой и с Евразийской экономической комиссией с использованием интегрированной информационной системы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5"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Решением Коллегии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от 28 сентября 2015 года № 125</w:t>
      </w:r>
    </w:p>
    <w:bookmarkEnd w:id="1"/>
    <w:bookmarkStart w:name="z6" w:id="2"/>
    <w:p>
      <w:pPr>
        <w:spacing w:after="0"/>
        <w:ind w:left="0"/>
        <w:jc w:val="left"/>
      </w:pPr>
      <w:r>
        <w:rPr>
          <w:rFonts w:ascii="Times New Roman"/>
          <w:b/>
          <w:i w:val="false"/>
          <w:color w:val="000000"/>
        </w:rPr>
        <w:t xml:space="preserve"> 
ПОЛОЖЕНИЕ</w:t>
      </w:r>
      <w:r>
        <w:br/>
      </w:r>
      <w:r>
        <w:rPr>
          <w:rFonts w:ascii="Times New Roman"/>
          <w:b/>
          <w:i w:val="false"/>
          <w:color w:val="000000"/>
        </w:rPr>
        <w:t>
об обмене электронными документами при трансграничном</w:t>
      </w:r>
      <w:r>
        <w:br/>
      </w:r>
      <w:r>
        <w:rPr>
          <w:rFonts w:ascii="Times New Roman"/>
          <w:b/>
          <w:i w:val="false"/>
          <w:color w:val="000000"/>
        </w:rPr>
        <w:t>
взаимодействии органов государственной власти</w:t>
      </w:r>
      <w:r>
        <w:br/>
      </w:r>
      <w:r>
        <w:rPr>
          <w:rFonts w:ascii="Times New Roman"/>
          <w:b/>
          <w:i w:val="false"/>
          <w:color w:val="000000"/>
        </w:rPr>
        <w:t>
государств – членов Евразийского экономического союза</w:t>
      </w:r>
      <w:r>
        <w:br/>
      </w:r>
      <w:r>
        <w:rPr>
          <w:rFonts w:ascii="Times New Roman"/>
          <w:b/>
          <w:i w:val="false"/>
          <w:color w:val="000000"/>
        </w:rPr>
        <w:t>
между собой и с Евразийской экономической комиссией</w:t>
      </w:r>
    </w:p>
    <w:bookmarkEnd w:id="2"/>
    <w:bookmarkStart w:name="z7" w:id="3"/>
    <w:p>
      <w:pPr>
        <w:spacing w:after="0"/>
        <w:ind w:left="0"/>
        <w:jc w:val="left"/>
      </w:pPr>
      <w:r>
        <w:rPr>
          <w:rFonts w:ascii="Times New Roman"/>
          <w:b/>
          <w:i w:val="false"/>
          <w:color w:val="000000"/>
        </w:rPr>
        <w:t xml:space="preserve"> 
I. Общие положения</w:t>
      </w:r>
    </w:p>
    <w:bookmarkEnd w:id="3"/>
    <w:bookmarkStart w:name="z8" w:id="4"/>
    <w:p>
      <w:pPr>
        <w:spacing w:after="0"/>
        <w:ind w:left="0"/>
        <w:jc w:val="both"/>
      </w:pPr>
      <w:r>
        <w:rPr>
          <w:rFonts w:ascii="Times New Roman"/>
          <w:b w:val="false"/>
          <w:i w:val="false"/>
          <w:color w:val="000000"/>
          <w:sz w:val="28"/>
        </w:rPr>
        <w:t>
      1. Настоящее Положение устанавливает порядок обмена электронными документами при трансграничном взаимодействии органов государственной власти государств – членов Евразийского экономического союза (далее соответственно – государства-члены, Союз) между собой и с Евразийской экономической комиссией (далее – Комиссия) в интегрированной информационной системе внешней и взаимной торговли и создаваемой на основе расширения ее функциональных возможностей интегрированной информационной системе Союза (далее – интегрированная система) в целях обеспечения обмена юридически значимыми электронными документами в рамках интегрированной системы, а также определяет состав участников обмена электронными документами, общие требования к электронным документам, требования к подписанию электронного документа электронной цифровой подписью (электронной подписью) и ответственность участников обмена электронными документами.</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Положении, означают следующее:</w:t>
      </w:r>
      <w:r>
        <w:br/>
      </w:r>
      <w:r>
        <w:rPr>
          <w:rFonts w:ascii="Times New Roman"/>
          <w:b w:val="false"/>
          <w:i w:val="false"/>
          <w:color w:val="000000"/>
          <w:sz w:val="28"/>
        </w:rPr>
        <w:t>
</w:t>
      </w:r>
      <w:r>
        <w:rPr>
          <w:rFonts w:ascii="Times New Roman"/>
          <w:b w:val="false"/>
          <w:i w:val="false"/>
          <w:color w:val="000000"/>
          <w:sz w:val="28"/>
        </w:rPr>
        <w:t>
      «XML» – рекомендованный Консорциумом Всемирной паутины (W3C) расширяемый язык разметки;</w:t>
      </w:r>
      <w:r>
        <w:br/>
      </w:r>
      <w:r>
        <w:rPr>
          <w:rFonts w:ascii="Times New Roman"/>
          <w:b w:val="false"/>
          <w:i w:val="false"/>
          <w:color w:val="000000"/>
          <w:sz w:val="28"/>
        </w:rPr>
        <w:t>
</w:t>
      </w:r>
      <w:r>
        <w:rPr>
          <w:rFonts w:ascii="Times New Roman"/>
          <w:b w:val="false"/>
          <w:i w:val="false"/>
          <w:color w:val="000000"/>
          <w:sz w:val="28"/>
        </w:rPr>
        <w:t>
      «XML-документ» – совокупность данных, соответствующая требованиям XML;</w:t>
      </w:r>
      <w:r>
        <w:br/>
      </w:r>
      <w:r>
        <w:rPr>
          <w:rFonts w:ascii="Times New Roman"/>
          <w:b w:val="false"/>
          <w:i w:val="false"/>
          <w:color w:val="000000"/>
          <w:sz w:val="28"/>
        </w:rPr>
        <w:t>
</w:t>
      </w:r>
      <w:r>
        <w:rPr>
          <w:rFonts w:ascii="Times New Roman"/>
          <w:b w:val="false"/>
          <w:i w:val="false"/>
          <w:color w:val="000000"/>
          <w:sz w:val="28"/>
        </w:rPr>
        <w:t>
      «каноникализация XML» – процесс преобразования 
</w:t>
      </w:r>
      <w:r>
        <w:rPr>
          <w:rFonts w:ascii="Times New Roman"/>
          <w:b w:val="false"/>
          <w:i w:val="false"/>
          <w:color w:val="000000"/>
          <w:sz w:val="28"/>
        </w:rPr>
        <w:t>
XML-документов в каноническую форму XML;</w:t>
      </w:r>
      <w:r>
        <w:br/>
      </w:r>
      <w:r>
        <w:rPr>
          <w:rFonts w:ascii="Times New Roman"/>
          <w:b w:val="false"/>
          <w:i w:val="false"/>
          <w:color w:val="000000"/>
          <w:sz w:val="28"/>
        </w:rPr>
        <w:t>
</w:t>
      </w:r>
      <w:r>
        <w:rPr>
          <w:rFonts w:ascii="Times New Roman"/>
          <w:b w:val="false"/>
          <w:i w:val="false"/>
          <w:color w:val="000000"/>
          <w:sz w:val="28"/>
        </w:rPr>
        <w:t>
      «квитанция доверенной третьей стороны» – электронный документ, формируемый доверенной третьей стороной и подписанный электронной цифровой подписью (электронной подписью) доверенной третьей стороны, служащий для подтверждения результата проверки подлинности электронного документа и электронной цифровой подписи (электронной подписи) в электронном документе;</w:t>
      </w:r>
      <w:r>
        <w:br/>
      </w:r>
      <w:r>
        <w:rPr>
          <w:rFonts w:ascii="Times New Roman"/>
          <w:b w:val="false"/>
          <w:i w:val="false"/>
          <w:color w:val="000000"/>
          <w:sz w:val="28"/>
        </w:rPr>
        <w:t>
</w:t>
      </w:r>
      <w:r>
        <w:rPr>
          <w:rFonts w:ascii="Times New Roman"/>
          <w:b w:val="false"/>
          <w:i w:val="false"/>
          <w:color w:val="000000"/>
          <w:sz w:val="28"/>
        </w:rPr>
        <w:t>
      «криптографический стандарт» – совокупность технических спецификаций, устанавливающих правила формирования и проверки электронных цифровых подписей (электронных подписей);</w:t>
      </w:r>
      <w:r>
        <w:br/>
      </w:r>
      <w:r>
        <w:rPr>
          <w:rFonts w:ascii="Times New Roman"/>
          <w:b w:val="false"/>
          <w:i w:val="false"/>
          <w:color w:val="000000"/>
          <w:sz w:val="28"/>
        </w:rPr>
        <w:t>
</w:t>
      </w:r>
      <w:r>
        <w:rPr>
          <w:rFonts w:ascii="Times New Roman"/>
          <w:b w:val="false"/>
          <w:i w:val="false"/>
          <w:color w:val="000000"/>
          <w:sz w:val="28"/>
        </w:rPr>
        <w:t>
      «отправитель» – участник обмена электронными документами, который направляет или от имени которого направляется электронный документ;</w:t>
      </w:r>
      <w:r>
        <w:br/>
      </w:r>
      <w:r>
        <w:rPr>
          <w:rFonts w:ascii="Times New Roman"/>
          <w:b w:val="false"/>
          <w:i w:val="false"/>
          <w:color w:val="000000"/>
          <w:sz w:val="28"/>
        </w:rPr>
        <w:t>
</w:t>
      </w:r>
      <w:r>
        <w:rPr>
          <w:rFonts w:ascii="Times New Roman"/>
          <w:b w:val="false"/>
          <w:i w:val="false"/>
          <w:color w:val="000000"/>
          <w:sz w:val="28"/>
        </w:rPr>
        <w:t>
      «получатель» – участник обмена электронными документами, которому отправлен электронный документ;</w:t>
      </w:r>
      <w:r>
        <w:br/>
      </w:r>
      <w:r>
        <w:rPr>
          <w:rFonts w:ascii="Times New Roman"/>
          <w:b w:val="false"/>
          <w:i w:val="false"/>
          <w:color w:val="000000"/>
          <w:sz w:val="28"/>
        </w:rPr>
        <w:t>
</w:t>
      </w:r>
      <w:r>
        <w:rPr>
          <w:rFonts w:ascii="Times New Roman"/>
          <w:b w:val="false"/>
          <w:i w:val="false"/>
          <w:color w:val="000000"/>
          <w:sz w:val="28"/>
        </w:rPr>
        <w:t>
      «сегмент отправителя», «сегмент получателя» – национальный сегмент государства-члена или интеграционный сегмент Комиссии, информационные системы которых используются для отправки (приема) электронных документов отправителем (получателем);</w:t>
      </w:r>
      <w:r>
        <w:br/>
      </w:r>
      <w:r>
        <w:rPr>
          <w:rFonts w:ascii="Times New Roman"/>
          <w:b w:val="false"/>
          <w:i w:val="false"/>
          <w:color w:val="000000"/>
          <w:sz w:val="28"/>
        </w:rPr>
        <w:t>
</w:t>
      </w:r>
      <w:r>
        <w:rPr>
          <w:rFonts w:ascii="Times New Roman"/>
          <w:b w:val="false"/>
          <w:i w:val="false"/>
          <w:color w:val="000000"/>
          <w:sz w:val="28"/>
        </w:rPr>
        <w:t>
      «сертификат ключа проверки ЭЦП», «сертификат» – электронный документ, изданный удостоверяющим центром, подписанный закрытым (личным) ключом удостоверяющего центра и содержащий информацию, подтверждающую принадлежность указанного в сертификате открытого ключа определенному участнику обмена электронными документами, и иную информацию, предусмотренную соответствующими криптографическими стандартами;</w:t>
      </w:r>
      <w:r>
        <w:br/>
      </w:r>
      <w:r>
        <w:rPr>
          <w:rFonts w:ascii="Times New Roman"/>
          <w:b w:val="false"/>
          <w:i w:val="false"/>
          <w:color w:val="000000"/>
          <w:sz w:val="28"/>
        </w:rPr>
        <w:t>
</w:t>
      </w:r>
      <w:r>
        <w:rPr>
          <w:rFonts w:ascii="Times New Roman"/>
          <w:b w:val="false"/>
          <w:i w:val="false"/>
          <w:color w:val="000000"/>
          <w:sz w:val="28"/>
        </w:rPr>
        <w:t>
      «служба доверенной третьей стороны интегрированной</w:t>
      </w:r>
      <w:r>
        <w:br/>
      </w:r>
      <w:r>
        <w:rPr>
          <w:rFonts w:ascii="Times New Roman"/>
          <w:b w:val="false"/>
          <w:i w:val="false"/>
          <w:color w:val="000000"/>
          <w:sz w:val="28"/>
        </w:rPr>
        <w:t>
</w:t>
      </w:r>
      <w:r>
        <w:rPr>
          <w:rFonts w:ascii="Times New Roman"/>
          <w:b w:val="false"/>
          <w:i w:val="false"/>
          <w:color w:val="000000"/>
          <w:sz w:val="28"/>
        </w:rPr>
        <w:t>
системы» – совокупность сервисов доверенной третьей стороны государств-членов и Комиссии, обеспечивающих единое трансграничное пространство доверия при обмене электронными документами в интегрированной системе;</w:t>
      </w:r>
      <w:r>
        <w:br/>
      </w:r>
      <w:r>
        <w:rPr>
          <w:rFonts w:ascii="Times New Roman"/>
          <w:b w:val="false"/>
          <w:i w:val="false"/>
          <w:color w:val="000000"/>
          <w:sz w:val="28"/>
        </w:rPr>
        <w:t>
</w:t>
      </w:r>
      <w:r>
        <w:rPr>
          <w:rFonts w:ascii="Times New Roman"/>
          <w:b w:val="false"/>
          <w:i w:val="false"/>
          <w:color w:val="000000"/>
          <w:sz w:val="28"/>
        </w:rPr>
        <w:t>
      «сообщение» – формализованная информация, передающаяся от отправителя к получателю в интегрированной системе;</w:t>
      </w:r>
      <w:r>
        <w:br/>
      </w:r>
      <w:r>
        <w:rPr>
          <w:rFonts w:ascii="Times New Roman"/>
          <w:b w:val="false"/>
          <w:i w:val="false"/>
          <w:color w:val="000000"/>
          <w:sz w:val="28"/>
        </w:rPr>
        <w:t>
</w:t>
      </w:r>
      <w:r>
        <w:rPr>
          <w:rFonts w:ascii="Times New Roman"/>
          <w:b w:val="false"/>
          <w:i w:val="false"/>
          <w:color w:val="000000"/>
          <w:sz w:val="28"/>
        </w:rPr>
        <w:t>
      «стандарт X.509» – стандарт ITU-T Х.509 «Информационные технологии. Взаимосвязь открытых систем. Справочник: Структуры сертификатов открытых ключей и атрибутов»;</w:t>
      </w:r>
      <w:r>
        <w:br/>
      </w:r>
      <w:r>
        <w:rPr>
          <w:rFonts w:ascii="Times New Roman"/>
          <w:b w:val="false"/>
          <w:i w:val="false"/>
          <w:color w:val="000000"/>
          <w:sz w:val="28"/>
        </w:rPr>
        <w:t>
</w:t>
      </w:r>
      <w:r>
        <w:rPr>
          <w:rFonts w:ascii="Times New Roman"/>
          <w:b w:val="false"/>
          <w:i w:val="false"/>
          <w:color w:val="000000"/>
          <w:sz w:val="28"/>
        </w:rPr>
        <w:t>
      «стандарт XAdES» – стандарт XML Advanced Electronic Signature, описывающий расширенный формат электронной цифровой подписи (электронной подписи) в формате XML;</w:t>
      </w:r>
      <w:r>
        <w:br/>
      </w:r>
      <w:r>
        <w:rPr>
          <w:rFonts w:ascii="Times New Roman"/>
          <w:b w:val="false"/>
          <w:i w:val="false"/>
          <w:color w:val="000000"/>
          <w:sz w:val="28"/>
        </w:rPr>
        <w:t>
</w:t>
      </w:r>
      <w:r>
        <w:rPr>
          <w:rFonts w:ascii="Times New Roman"/>
          <w:b w:val="false"/>
          <w:i w:val="false"/>
          <w:color w:val="000000"/>
          <w:sz w:val="28"/>
        </w:rPr>
        <w:t>
      «стандарт XMLDSig» – стандарт синтаксиса и обработки электронной цифровой подписи (электронной подписи) в формате XML;</w:t>
      </w:r>
      <w:r>
        <w:br/>
      </w:r>
      <w:r>
        <w:rPr>
          <w:rFonts w:ascii="Times New Roman"/>
          <w:b w:val="false"/>
          <w:i w:val="false"/>
          <w:color w:val="000000"/>
          <w:sz w:val="28"/>
        </w:rPr>
        <w:t>
</w:t>
      </w:r>
      <w:r>
        <w:rPr>
          <w:rFonts w:ascii="Times New Roman"/>
          <w:b w:val="false"/>
          <w:i w:val="false"/>
          <w:color w:val="000000"/>
          <w:sz w:val="28"/>
        </w:rPr>
        <w:t>
      «удостоверяющий центр» – уполномоченный орган или организация, обеспечивающие в соответствии с актами Комиссии, законодательством государства-члена предоставление услуг по изданию, распространению, хранению сертификатов ключей проверки ЭЦП и проверки действительности этих сертификатов;</w:t>
      </w:r>
      <w:r>
        <w:br/>
      </w:r>
      <w:r>
        <w:rPr>
          <w:rFonts w:ascii="Times New Roman"/>
          <w:b w:val="false"/>
          <w:i w:val="false"/>
          <w:color w:val="000000"/>
          <w:sz w:val="28"/>
        </w:rPr>
        <w:t>
</w:t>
      </w:r>
      <w:r>
        <w:rPr>
          <w:rFonts w:ascii="Times New Roman"/>
          <w:b w:val="false"/>
          <w:i w:val="false"/>
          <w:color w:val="000000"/>
          <w:sz w:val="28"/>
        </w:rPr>
        <w:t>
      «электронная цифровая подпись (электронная подпись)», «ЭЦП» – информация в электронном виде, которая присоединена к другой информации в электронном виде или иным образом связана с такой информацией, служит для контроля целостности и подлинности этой информации, обеспечивает невозможность отказа от авторства, вырабатывается путем применения в отношении данной информации криптографического преобразования с использованием закрытого (личного) ключа и проверяется с использованием открытого ключа;</w:t>
      </w:r>
      <w:r>
        <w:br/>
      </w:r>
      <w:r>
        <w:rPr>
          <w:rFonts w:ascii="Times New Roman"/>
          <w:b w:val="false"/>
          <w:i w:val="false"/>
          <w:color w:val="000000"/>
          <w:sz w:val="28"/>
        </w:rPr>
        <w:t>
</w:t>
      </w:r>
      <w:r>
        <w:rPr>
          <w:rFonts w:ascii="Times New Roman"/>
          <w:b w:val="false"/>
          <w:i w:val="false"/>
          <w:color w:val="000000"/>
          <w:sz w:val="28"/>
        </w:rPr>
        <w:t>
      «юридическая значимость электронного документа» – свойство электронного документа, позволяющее воспринимать содержание данного электронного документа как подлинное.</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(далее – Протокол).</w:t>
      </w:r>
      <w:r>
        <w:br/>
      </w:r>
      <w:r>
        <w:rPr>
          <w:rFonts w:ascii="Times New Roman"/>
          <w:b w:val="false"/>
          <w:i w:val="false"/>
          <w:color w:val="000000"/>
          <w:sz w:val="28"/>
        </w:rPr>
        <w:t>
</w:t>
      </w:r>
      <w:r>
        <w:rPr>
          <w:rFonts w:ascii="Times New Roman"/>
          <w:b w:val="false"/>
          <w:i w:val="false"/>
          <w:color w:val="000000"/>
          <w:sz w:val="28"/>
        </w:rPr>
        <w:t>
      3. Отношения, возникающие в связи с обменом электронными документами, регулируются Договором о Евразийском экономическом союзе от 29 мая 2014 года, иными международными договорами, входящими в право Союза, настоящим Положением, утверждаемыми Комиссией технологическими документами, регламентирующими информационное взаимодействие при реализации средствами интегрированной системы общих процессов в рамках Союза (далее – технологические документы, регламентирующие информационное взаимодействие), а также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4. Технологические документы, регламентирующие информационное взаимодействие, разрабатываются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w:t>
      </w:r>
      <w:r>
        <w:br/>
      </w:r>
      <w:r>
        <w:rPr>
          <w:rFonts w:ascii="Times New Roman"/>
          <w:b w:val="false"/>
          <w:i w:val="false"/>
          <w:color w:val="000000"/>
          <w:sz w:val="28"/>
        </w:rPr>
        <w:t>
</w:t>
      </w:r>
      <w:r>
        <w:rPr>
          <w:rFonts w:ascii="Times New Roman"/>
          <w:b w:val="false"/>
          <w:i w:val="false"/>
          <w:color w:val="000000"/>
          <w:sz w:val="28"/>
        </w:rPr>
        <w:t>
      5. Требования к оформлению электронных документов определены согласно </w:t>
      </w:r>
      <w:r>
        <w:rPr>
          <w:rFonts w:ascii="Times New Roman"/>
          <w:b w:val="false"/>
          <w:i w:val="false"/>
          <w:color w:val="000000"/>
          <w:sz w:val="28"/>
        </w:rPr>
        <w:t>приложениям №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Электронные документы, оформленные в соответствии с настоящим Положением, с учетом требований, определенных приложениями № 1 – 4 к настоящему Положению, признаются равнозначными документам, оформленным на бумажном носителе и заверенным подписью или подписью и печатью. </w:t>
      </w:r>
    </w:p>
    <w:bookmarkEnd w:id="4"/>
    <w:bookmarkStart w:name="z35" w:id="5"/>
    <w:p>
      <w:pPr>
        <w:spacing w:after="0"/>
        <w:ind w:left="0"/>
        <w:jc w:val="left"/>
      </w:pPr>
      <w:r>
        <w:rPr>
          <w:rFonts w:ascii="Times New Roman"/>
          <w:b/>
          <w:i w:val="false"/>
          <w:color w:val="000000"/>
        </w:rPr>
        <w:t xml:space="preserve"> 
II. Участники обмена электронными документами</w:t>
      </w:r>
    </w:p>
    <w:bookmarkEnd w:id="5"/>
    <w:bookmarkStart w:name="z36" w:id="6"/>
    <w:p>
      <w:pPr>
        <w:spacing w:after="0"/>
        <w:ind w:left="0"/>
        <w:jc w:val="both"/>
      </w:pPr>
      <w:r>
        <w:rPr>
          <w:rFonts w:ascii="Times New Roman"/>
          <w:b w:val="false"/>
          <w:i w:val="false"/>
          <w:color w:val="000000"/>
          <w:sz w:val="28"/>
        </w:rPr>
        <w:t>
      6. Участниками обмена электронными документами в рамках интегрированной системы являются:</w:t>
      </w:r>
      <w:r>
        <w:br/>
      </w:r>
      <w:r>
        <w:rPr>
          <w:rFonts w:ascii="Times New Roman"/>
          <w:b w:val="false"/>
          <w:i w:val="false"/>
          <w:color w:val="000000"/>
          <w:sz w:val="28"/>
        </w:rPr>
        <w:t>
</w:t>
      </w:r>
      <w:r>
        <w:rPr>
          <w:rFonts w:ascii="Times New Roman"/>
          <w:b w:val="false"/>
          <w:i w:val="false"/>
          <w:color w:val="000000"/>
          <w:sz w:val="28"/>
        </w:rPr>
        <w:t>
      а) Комиссия;</w:t>
      </w:r>
      <w:r>
        <w:br/>
      </w:r>
      <w:r>
        <w:rPr>
          <w:rFonts w:ascii="Times New Roman"/>
          <w:b w:val="false"/>
          <w:i w:val="false"/>
          <w:color w:val="000000"/>
          <w:sz w:val="28"/>
        </w:rPr>
        <w:t>
</w:t>
      </w:r>
      <w:r>
        <w:rPr>
          <w:rFonts w:ascii="Times New Roman"/>
          <w:b w:val="false"/>
          <w:i w:val="false"/>
          <w:color w:val="000000"/>
          <w:sz w:val="28"/>
        </w:rPr>
        <w:t>
      б) уполномоченные органы или определенные (аккредитованные) ими организации;</w:t>
      </w:r>
      <w:r>
        <w:br/>
      </w:r>
      <w:r>
        <w:rPr>
          <w:rFonts w:ascii="Times New Roman"/>
          <w:b w:val="false"/>
          <w:i w:val="false"/>
          <w:color w:val="000000"/>
          <w:sz w:val="28"/>
        </w:rPr>
        <w:t>
</w:t>
      </w:r>
      <w:r>
        <w:rPr>
          <w:rFonts w:ascii="Times New Roman"/>
          <w:b w:val="false"/>
          <w:i w:val="false"/>
          <w:color w:val="000000"/>
          <w:sz w:val="28"/>
        </w:rPr>
        <w:t>
      в) третьи стороны государств-членов и Комиссии;</w:t>
      </w:r>
      <w:r>
        <w:br/>
      </w:r>
      <w:r>
        <w:rPr>
          <w:rFonts w:ascii="Times New Roman"/>
          <w:b w:val="false"/>
          <w:i w:val="false"/>
          <w:color w:val="000000"/>
          <w:sz w:val="28"/>
        </w:rPr>
        <w:t>
</w:t>
      </w:r>
      <w:r>
        <w:rPr>
          <w:rFonts w:ascii="Times New Roman"/>
          <w:b w:val="false"/>
          <w:i w:val="false"/>
          <w:color w:val="000000"/>
          <w:sz w:val="28"/>
        </w:rPr>
        <w:t>
      г) удостоверяющие центры государств-членов и Комиссии, удостоверяющий центр службы доверенной третьей стороны интегрированной системы;</w:t>
      </w:r>
      <w:r>
        <w:br/>
      </w:r>
      <w:r>
        <w:rPr>
          <w:rFonts w:ascii="Times New Roman"/>
          <w:b w:val="false"/>
          <w:i w:val="false"/>
          <w:color w:val="000000"/>
          <w:sz w:val="28"/>
        </w:rPr>
        <w:t>
</w:t>
      </w:r>
      <w:r>
        <w:rPr>
          <w:rFonts w:ascii="Times New Roman"/>
          <w:b w:val="false"/>
          <w:i w:val="false"/>
          <w:color w:val="000000"/>
          <w:sz w:val="28"/>
        </w:rPr>
        <w:t>
      д) организации – операторы интеграционных шлюзов национальных сегментов государств-членов и интеграционного сегмента Комиссии;</w:t>
      </w:r>
      <w:r>
        <w:br/>
      </w:r>
      <w:r>
        <w:rPr>
          <w:rFonts w:ascii="Times New Roman"/>
          <w:b w:val="false"/>
          <w:i w:val="false"/>
          <w:color w:val="000000"/>
          <w:sz w:val="28"/>
        </w:rPr>
        <w:t>
</w:t>
      </w:r>
      <w:r>
        <w:rPr>
          <w:rFonts w:ascii="Times New Roman"/>
          <w:b w:val="false"/>
          <w:i w:val="false"/>
          <w:color w:val="000000"/>
          <w:sz w:val="28"/>
        </w:rPr>
        <w:t>
      е) должностные лица и сотрудники Комиссии, доверенных третьих сторон, уполномоченных органов или определенных (аккредитованных) ими организаций, а также удостоверяющих центров государств-членов и Комиссии, которые участвуют в обмене электронными документами от своего имени.</w:t>
      </w:r>
      <w:r>
        <w:br/>
      </w:r>
      <w:r>
        <w:rPr>
          <w:rFonts w:ascii="Times New Roman"/>
          <w:b w:val="false"/>
          <w:i w:val="false"/>
          <w:color w:val="000000"/>
          <w:sz w:val="28"/>
        </w:rPr>
        <w:t>
</w:t>
      </w:r>
      <w:r>
        <w:rPr>
          <w:rFonts w:ascii="Times New Roman"/>
          <w:b w:val="false"/>
          <w:i w:val="false"/>
          <w:color w:val="000000"/>
          <w:sz w:val="28"/>
        </w:rPr>
        <w:t>
      7. Определение состава участников обмена электронными документами осуществляется:</w:t>
      </w:r>
      <w:r>
        <w:br/>
      </w:r>
      <w:r>
        <w:rPr>
          <w:rFonts w:ascii="Times New Roman"/>
          <w:b w:val="false"/>
          <w:i w:val="false"/>
          <w:color w:val="000000"/>
          <w:sz w:val="28"/>
        </w:rPr>
        <w:t>
</w:t>
      </w:r>
      <w:r>
        <w:rPr>
          <w:rFonts w:ascii="Times New Roman"/>
          <w:b w:val="false"/>
          <w:i w:val="false"/>
          <w:color w:val="000000"/>
          <w:sz w:val="28"/>
        </w:rPr>
        <w:t>
      а) государствами-членами – в отношении уполномоченных органов, доверенной третьей стороны, удостоверяющих центров, организации – оператора интеграционного шлюза национального сегмента этого государства-члена;</w:t>
      </w:r>
      <w:r>
        <w:br/>
      </w:r>
      <w:r>
        <w:rPr>
          <w:rFonts w:ascii="Times New Roman"/>
          <w:b w:val="false"/>
          <w:i w:val="false"/>
          <w:color w:val="000000"/>
          <w:sz w:val="28"/>
        </w:rPr>
        <w:t>
</w:t>
      </w:r>
      <w:r>
        <w:rPr>
          <w:rFonts w:ascii="Times New Roman"/>
          <w:b w:val="false"/>
          <w:i w:val="false"/>
          <w:color w:val="000000"/>
          <w:sz w:val="28"/>
        </w:rPr>
        <w:t>
      б) уполномоченными органами или определенными (аккредитованными) ими организациями – в отношении должностных лиц и сотрудников этих уполномоченных органов или организаций;</w:t>
      </w:r>
      <w:r>
        <w:br/>
      </w:r>
      <w:r>
        <w:rPr>
          <w:rFonts w:ascii="Times New Roman"/>
          <w:b w:val="false"/>
          <w:i w:val="false"/>
          <w:color w:val="000000"/>
          <w:sz w:val="28"/>
        </w:rPr>
        <w:t>
</w:t>
      </w:r>
      <w:r>
        <w:rPr>
          <w:rFonts w:ascii="Times New Roman"/>
          <w:b w:val="false"/>
          <w:i w:val="false"/>
          <w:color w:val="000000"/>
          <w:sz w:val="28"/>
        </w:rPr>
        <w:t>
      в) Комиссией – в отношении доверенной третьей стороны Комиссии, удостоверяющего центра Комиссии, удостоверяющего центра службы доверенной третьей стороны интегрированной системы, должностных лиц этих органов, а также в отношении должностных лиц и сотрудников Комиссии.</w:t>
      </w:r>
      <w:r>
        <w:br/>
      </w:r>
      <w:r>
        <w:rPr>
          <w:rFonts w:ascii="Times New Roman"/>
          <w:b w:val="false"/>
          <w:i w:val="false"/>
          <w:color w:val="000000"/>
          <w:sz w:val="28"/>
        </w:rPr>
        <w:t>
</w:t>
      </w:r>
      <w:r>
        <w:rPr>
          <w:rFonts w:ascii="Times New Roman"/>
          <w:b w:val="false"/>
          <w:i w:val="false"/>
          <w:color w:val="000000"/>
          <w:sz w:val="28"/>
        </w:rPr>
        <w:t>
      8. Участниками обмена электронными документами осуществляются следующие функции:</w:t>
      </w:r>
      <w:r>
        <w:br/>
      </w:r>
      <w:r>
        <w:rPr>
          <w:rFonts w:ascii="Times New Roman"/>
          <w:b w:val="false"/>
          <w:i w:val="false"/>
          <w:color w:val="000000"/>
          <w:sz w:val="28"/>
        </w:rPr>
        <w:t>
</w:t>
      </w:r>
      <w:r>
        <w:rPr>
          <w:rFonts w:ascii="Times New Roman"/>
          <w:b w:val="false"/>
          <w:i w:val="false"/>
          <w:color w:val="000000"/>
          <w:sz w:val="28"/>
        </w:rPr>
        <w:t>
      а) отправителем – подготовка электронного документа, его подписание ЭЦП и отправка получателю;</w:t>
      </w:r>
      <w:r>
        <w:br/>
      </w:r>
      <w:r>
        <w:rPr>
          <w:rFonts w:ascii="Times New Roman"/>
          <w:b w:val="false"/>
          <w:i w:val="false"/>
          <w:color w:val="000000"/>
          <w:sz w:val="28"/>
        </w:rPr>
        <w:t>
</w:t>
      </w:r>
      <w:r>
        <w:rPr>
          <w:rFonts w:ascii="Times New Roman"/>
          <w:b w:val="false"/>
          <w:i w:val="false"/>
          <w:color w:val="000000"/>
          <w:sz w:val="28"/>
        </w:rPr>
        <w:t>
      б) получателем – прием и обработка полученных от отправителя электронного документа и квитанции доверенной третьей стороны получателя для проверки подлинности электронного документа отправителя;</w:t>
      </w:r>
      <w:r>
        <w:br/>
      </w:r>
      <w:r>
        <w:rPr>
          <w:rFonts w:ascii="Times New Roman"/>
          <w:b w:val="false"/>
          <w:i w:val="false"/>
          <w:color w:val="000000"/>
          <w:sz w:val="28"/>
        </w:rPr>
        <w:t>
</w:t>
      </w:r>
      <w:r>
        <w:rPr>
          <w:rFonts w:ascii="Times New Roman"/>
          <w:b w:val="false"/>
          <w:i w:val="false"/>
          <w:color w:val="000000"/>
          <w:sz w:val="28"/>
        </w:rPr>
        <w:t>
      в) организациями – операторами интеграционных шлюзов интегрированной системы – обеспечение трансграничной передачи электронных документов, а также проверка квитанций доверенных третьих сторон в целях недопущения передачи неподлинных электронных документов, которые заведомо не должны или не могут быть обработаны получателем;</w:t>
      </w:r>
      <w:r>
        <w:br/>
      </w:r>
      <w:r>
        <w:rPr>
          <w:rFonts w:ascii="Times New Roman"/>
          <w:b w:val="false"/>
          <w:i w:val="false"/>
          <w:color w:val="000000"/>
          <w:sz w:val="28"/>
        </w:rPr>
        <w:t>
</w:t>
      </w:r>
      <w:r>
        <w:rPr>
          <w:rFonts w:ascii="Times New Roman"/>
          <w:b w:val="false"/>
          <w:i w:val="false"/>
          <w:color w:val="000000"/>
          <w:sz w:val="28"/>
        </w:rPr>
        <w:t>
      г) доверенной третьей стороной отправителя – проверка подлинности электронного документа и ЭЦП электронного документа, формирование и подписание квитанции доверенной третьей стороны отправителя с результатом проверки;</w:t>
      </w:r>
      <w:r>
        <w:br/>
      </w:r>
      <w:r>
        <w:rPr>
          <w:rFonts w:ascii="Times New Roman"/>
          <w:b w:val="false"/>
          <w:i w:val="false"/>
          <w:color w:val="000000"/>
          <w:sz w:val="28"/>
        </w:rPr>
        <w:t>
</w:t>
      </w:r>
      <w:r>
        <w:rPr>
          <w:rFonts w:ascii="Times New Roman"/>
          <w:b w:val="false"/>
          <w:i w:val="false"/>
          <w:color w:val="000000"/>
          <w:sz w:val="28"/>
        </w:rPr>
        <w:t>
      д) доверенной третьей стороной получателя – проверка подлинности электронного документа в соответствии с квитанцией доверенной третьей стороны отправителя и ЭЦП в этой квитанции, формирование и подписание квитанции доверенной третьей стороны получателя с результатом проверки;</w:t>
      </w:r>
      <w:r>
        <w:br/>
      </w:r>
      <w:r>
        <w:rPr>
          <w:rFonts w:ascii="Times New Roman"/>
          <w:b w:val="false"/>
          <w:i w:val="false"/>
          <w:color w:val="000000"/>
          <w:sz w:val="28"/>
        </w:rPr>
        <w:t>
</w:t>
      </w:r>
      <w:r>
        <w:rPr>
          <w:rFonts w:ascii="Times New Roman"/>
          <w:b w:val="false"/>
          <w:i w:val="false"/>
          <w:color w:val="000000"/>
          <w:sz w:val="28"/>
        </w:rPr>
        <w:t>
      е) удостоверяющим центром государства-члена и удостоверяющим центром Комиссии – выдача сертификатов, предоставление сервисов для проверки актуальности сертификатов, выданных в пределах своей компетенции, сервисов для проверки полномочий (правовых статусов) владельцев сертификатов, используемых при проверке ЭЦП посредством доверенной третьей стороны отправителя, а также сервиса штампа времени;</w:t>
      </w:r>
      <w:r>
        <w:br/>
      </w:r>
      <w:r>
        <w:rPr>
          <w:rFonts w:ascii="Times New Roman"/>
          <w:b w:val="false"/>
          <w:i w:val="false"/>
          <w:color w:val="000000"/>
          <w:sz w:val="28"/>
        </w:rPr>
        <w:t>
</w:t>
      </w:r>
      <w:r>
        <w:rPr>
          <w:rFonts w:ascii="Times New Roman"/>
          <w:b w:val="false"/>
          <w:i w:val="false"/>
          <w:color w:val="000000"/>
          <w:sz w:val="28"/>
        </w:rPr>
        <w:t>
      ж) удостоверяющим центром службы доверенной третьей стороны – выдача сертификатов доверенным третьим сторонам государств-членов, предоставление сервисов для проверки актуальности выданных сертификатов и сервиса штампа времени.</w:t>
      </w:r>
      <w:r>
        <w:br/>
      </w:r>
      <w:r>
        <w:rPr>
          <w:rFonts w:ascii="Times New Roman"/>
          <w:b w:val="false"/>
          <w:i w:val="false"/>
          <w:color w:val="000000"/>
          <w:sz w:val="28"/>
        </w:rPr>
        <w:t>
</w:t>
      </w:r>
      <w:r>
        <w:rPr>
          <w:rFonts w:ascii="Times New Roman"/>
          <w:b w:val="false"/>
          <w:i w:val="false"/>
          <w:color w:val="000000"/>
          <w:sz w:val="28"/>
        </w:rPr>
        <w:t>
      9. Участники обмена электронными документами обязаны:</w:t>
      </w:r>
      <w:r>
        <w:br/>
      </w:r>
      <w:r>
        <w:rPr>
          <w:rFonts w:ascii="Times New Roman"/>
          <w:b w:val="false"/>
          <w:i w:val="false"/>
          <w:color w:val="000000"/>
          <w:sz w:val="28"/>
        </w:rPr>
        <w:t>
</w:t>
      </w:r>
      <w:r>
        <w:rPr>
          <w:rFonts w:ascii="Times New Roman"/>
          <w:b w:val="false"/>
          <w:i w:val="false"/>
          <w:color w:val="000000"/>
          <w:sz w:val="28"/>
        </w:rPr>
        <w:t>
      а) соблюдать настоящее Положение в процессе обмена электронными документами;</w:t>
      </w:r>
      <w:r>
        <w:br/>
      </w:r>
      <w:r>
        <w:rPr>
          <w:rFonts w:ascii="Times New Roman"/>
          <w:b w:val="false"/>
          <w:i w:val="false"/>
          <w:color w:val="000000"/>
          <w:sz w:val="28"/>
        </w:rPr>
        <w:t>
</w:t>
      </w:r>
      <w:r>
        <w:rPr>
          <w:rFonts w:ascii="Times New Roman"/>
          <w:b w:val="false"/>
          <w:i w:val="false"/>
          <w:color w:val="000000"/>
          <w:sz w:val="28"/>
        </w:rPr>
        <w:t>
      б) информировать друг друга обо всех случаях возникновения технических неисправностей в работе программно-аппаратных средств или о других обстоятельствах, препятствующих обмену электронными документами;</w:t>
      </w:r>
      <w:r>
        <w:br/>
      </w:r>
      <w:r>
        <w:rPr>
          <w:rFonts w:ascii="Times New Roman"/>
          <w:b w:val="false"/>
          <w:i w:val="false"/>
          <w:color w:val="000000"/>
          <w:sz w:val="28"/>
        </w:rPr>
        <w:t>
</w:t>
      </w:r>
      <w:r>
        <w:rPr>
          <w:rFonts w:ascii="Times New Roman"/>
          <w:b w:val="false"/>
          <w:i w:val="false"/>
          <w:color w:val="000000"/>
          <w:sz w:val="28"/>
        </w:rPr>
        <w:t>
      в) при возникновении конфликтных ситуаций участвовать в их разрешении;</w:t>
      </w:r>
      <w:r>
        <w:br/>
      </w:r>
      <w:r>
        <w:rPr>
          <w:rFonts w:ascii="Times New Roman"/>
          <w:b w:val="false"/>
          <w:i w:val="false"/>
          <w:color w:val="000000"/>
          <w:sz w:val="28"/>
        </w:rPr>
        <w:t>
</w:t>
      </w:r>
      <w:r>
        <w:rPr>
          <w:rFonts w:ascii="Times New Roman"/>
          <w:b w:val="false"/>
          <w:i w:val="false"/>
          <w:color w:val="000000"/>
          <w:sz w:val="28"/>
        </w:rPr>
        <w:t>
      г) обеспечивать защиту информации при обмене электронными документами в соответствии с требованиями актов Комиссии и законодательства государств-членов;</w:t>
      </w:r>
      <w:r>
        <w:br/>
      </w:r>
      <w:r>
        <w:rPr>
          <w:rFonts w:ascii="Times New Roman"/>
          <w:b w:val="false"/>
          <w:i w:val="false"/>
          <w:color w:val="000000"/>
          <w:sz w:val="28"/>
        </w:rPr>
        <w:t>
</w:t>
      </w:r>
      <w:r>
        <w:rPr>
          <w:rFonts w:ascii="Times New Roman"/>
          <w:b w:val="false"/>
          <w:i w:val="false"/>
          <w:color w:val="000000"/>
          <w:sz w:val="28"/>
        </w:rPr>
        <w:t>
      д) использовать средства ЭЦП, имеющие сертификаты соответствия, выданные согласно законодательству соответствующего государства-члена.</w:t>
      </w:r>
      <w:r>
        <w:br/>
      </w:r>
      <w:r>
        <w:rPr>
          <w:rFonts w:ascii="Times New Roman"/>
          <w:b w:val="false"/>
          <w:i w:val="false"/>
          <w:color w:val="000000"/>
          <w:sz w:val="28"/>
        </w:rPr>
        <w:t>
</w:t>
      </w:r>
      <w:r>
        <w:rPr>
          <w:rFonts w:ascii="Times New Roman"/>
          <w:b w:val="false"/>
          <w:i w:val="false"/>
          <w:color w:val="000000"/>
          <w:sz w:val="28"/>
        </w:rPr>
        <w:t>
      10. Требования к участникам обмена электронными документами при необходимости могут уточняться после утверждения Комиссией требований к созданию, развитию и функционированию трансграничного пространства доверия, предусмотренных </w:t>
      </w:r>
      <w:r>
        <w:rPr>
          <w:rFonts w:ascii="Times New Roman"/>
          <w:b w:val="false"/>
          <w:i w:val="false"/>
          <w:color w:val="000000"/>
          <w:sz w:val="28"/>
        </w:rPr>
        <w:t>пунктом 18</w:t>
      </w:r>
      <w:r>
        <w:rPr>
          <w:rFonts w:ascii="Times New Roman"/>
          <w:b w:val="false"/>
          <w:i w:val="false"/>
          <w:color w:val="000000"/>
          <w:sz w:val="28"/>
        </w:rPr>
        <w:t xml:space="preserve"> Протокола, а актуализация настоящего Положения будет проводиться после принятия локализованных версий необходимых международных стандартов и рекомендаций, а также утверждения Комиссией правил документирования информации при взаимодействии между уполномоченными органами, хозяйствующими субъектами и физическими лицами государств-членов.</w:t>
      </w:r>
    </w:p>
    <w:bookmarkEnd w:id="6"/>
    <w:bookmarkStart w:name="z63" w:id="7"/>
    <w:p>
      <w:pPr>
        <w:spacing w:after="0"/>
        <w:ind w:left="0"/>
        <w:jc w:val="left"/>
      </w:pPr>
      <w:r>
        <w:rPr>
          <w:rFonts w:ascii="Times New Roman"/>
          <w:b/>
          <w:i w:val="false"/>
          <w:color w:val="000000"/>
        </w:rPr>
        <w:t xml:space="preserve"> 
III. Обмен электронными документами</w:t>
      </w:r>
    </w:p>
    <w:bookmarkEnd w:id="7"/>
    <w:bookmarkStart w:name="z64" w:id="8"/>
    <w:p>
      <w:pPr>
        <w:spacing w:after="0"/>
        <w:ind w:left="0"/>
        <w:jc w:val="left"/>
      </w:pPr>
      <w:r>
        <w:rPr>
          <w:rFonts w:ascii="Times New Roman"/>
          <w:b/>
          <w:i w:val="false"/>
          <w:color w:val="000000"/>
        </w:rPr>
        <w:t xml:space="preserve"> 
1. Требования к криптографическим стандартам при</w:t>
      </w:r>
      <w:r>
        <w:br/>
      </w:r>
      <w:r>
        <w:rPr>
          <w:rFonts w:ascii="Times New Roman"/>
          <w:b/>
          <w:i w:val="false"/>
          <w:color w:val="000000"/>
        </w:rPr>
        <w:t>
обмене электронными документами</w:t>
      </w:r>
    </w:p>
    <w:bookmarkEnd w:id="8"/>
    <w:bookmarkStart w:name="z65" w:id="9"/>
    <w:p>
      <w:pPr>
        <w:spacing w:after="0"/>
        <w:ind w:left="0"/>
        <w:jc w:val="both"/>
      </w:pPr>
      <w:r>
        <w:rPr>
          <w:rFonts w:ascii="Times New Roman"/>
          <w:b w:val="false"/>
          <w:i w:val="false"/>
          <w:color w:val="000000"/>
          <w:sz w:val="28"/>
        </w:rPr>
        <w:t>
      11. При обмене электронными документами участниками такого обмена используются следующие криптографические стандарты:</w:t>
      </w:r>
      <w:r>
        <w:br/>
      </w:r>
      <w:r>
        <w:rPr>
          <w:rFonts w:ascii="Times New Roman"/>
          <w:b w:val="false"/>
          <w:i w:val="false"/>
          <w:color w:val="000000"/>
          <w:sz w:val="28"/>
        </w:rPr>
        <w:t>
</w:t>
      </w:r>
      <w:r>
        <w:rPr>
          <w:rFonts w:ascii="Times New Roman"/>
          <w:b w:val="false"/>
          <w:i w:val="false"/>
          <w:color w:val="000000"/>
          <w:sz w:val="28"/>
        </w:rPr>
        <w:t>
      а) при взаимодействии между отправителями (получателями) и доверенной третьей стороной в рамках одного национального сегмента государства-члена – криптографические стандарты этого государства-члена;</w:t>
      </w:r>
      <w:r>
        <w:br/>
      </w:r>
      <w:r>
        <w:rPr>
          <w:rFonts w:ascii="Times New Roman"/>
          <w:b w:val="false"/>
          <w:i w:val="false"/>
          <w:color w:val="000000"/>
          <w:sz w:val="28"/>
        </w:rPr>
        <w:t>
</w:t>
      </w:r>
      <w:r>
        <w:rPr>
          <w:rFonts w:ascii="Times New Roman"/>
          <w:b w:val="false"/>
          <w:i w:val="false"/>
          <w:color w:val="000000"/>
          <w:sz w:val="28"/>
        </w:rPr>
        <w:t>
      б) при взаимодействии между отправителями (получателями) и доверенной третьей стороной в рамках интеграционного сегмента Комиссии – криптографический стандарт, утверждаемый для этих целей Комиссией.</w:t>
      </w:r>
      <w:r>
        <w:br/>
      </w:r>
      <w:r>
        <w:rPr>
          <w:rFonts w:ascii="Times New Roman"/>
          <w:b w:val="false"/>
          <w:i w:val="false"/>
          <w:color w:val="000000"/>
          <w:sz w:val="28"/>
        </w:rPr>
        <w:t>
</w:t>
      </w:r>
      <w:r>
        <w:rPr>
          <w:rFonts w:ascii="Times New Roman"/>
          <w:b w:val="false"/>
          <w:i w:val="false"/>
          <w:color w:val="000000"/>
          <w:sz w:val="28"/>
        </w:rPr>
        <w:t>
      12. При взаимодействии сервисов службы доверенной третьей стороны интегрированной системы между собой используются согласованный криптографический стандарт ЭЦП и согласованный криптографический стандарт функции хэширования (стандарты службы доверенной третьей стороны интегрированной системы), утверждаемые для этих целей Комиссией.</w:t>
      </w:r>
    </w:p>
    <w:bookmarkEnd w:id="9"/>
    <w:bookmarkStart w:name="z70" w:id="10"/>
    <w:p>
      <w:pPr>
        <w:spacing w:after="0"/>
        <w:ind w:left="0"/>
        <w:jc w:val="left"/>
      </w:pPr>
      <w:r>
        <w:rPr>
          <w:rFonts w:ascii="Times New Roman"/>
          <w:b/>
          <w:i w:val="false"/>
          <w:color w:val="000000"/>
        </w:rPr>
        <w:t xml:space="preserve"> 
2. Порядок обмена электронными документами</w:t>
      </w:r>
    </w:p>
    <w:bookmarkEnd w:id="10"/>
    <w:bookmarkStart w:name="z71" w:id="11"/>
    <w:p>
      <w:pPr>
        <w:spacing w:after="0"/>
        <w:ind w:left="0"/>
        <w:jc w:val="both"/>
      </w:pPr>
      <w:r>
        <w:rPr>
          <w:rFonts w:ascii="Times New Roman"/>
          <w:b w:val="false"/>
          <w:i w:val="false"/>
          <w:color w:val="000000"/>
          <w:sz w:val="28"/>
        </w:rPr>
        <w:t>
      13. Обмен электронными документами при реализации общих процессов в рамках Союза (далее – общие процессы) выполняется в соответствии с технологическими документами, регламентирующими информационное взаимодействие, а также в соответствии с Правилами электронного обмена данными в интегрированной информационной системе внешней и взаимной торговли,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27 января 2015 г. № 5 (далее – Правила электронного обмена данными).</w:t>
      </w:r>
      <w:r>
        <w:br/>
      </w:r>
      <w:r>
        <w:rPr>
          <w:rFonts w:ascii="Times New Roman"/>
          <w:b w:val="false"/>
          <w:i w:val="false"/>
          <w:color w:val="000000"/>
          <w:sz w:val="28"/>
        </w:rPr>
        <w:t>
</w:t>
      </w:r>
      <w:r>
        <w:rPr>
          <w:rFonts w:ascii="Times New Roman"/>
          <w:b w:val="false"/>
          <w:i w:val="false"/>
          <w:color w:val="000000"/>
          <w:sz w:val="28"/>
        </w:rPr>
        <w:t>
      14. Оформление электронных документов, предусмотренных технологическими документами, регламентирующими информационное взаимодействие, в соответствии с требованиями, определенными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Положению, выполняется на основании значения параметра «признак ЭЦП» (принимает значение «да» или «нет»), указанного для каждой транзакции общего процесса в регламенте информационного взаимодействия между участниками общего процесса при реализации средствами интегрированной системы общего процесса.</w:t>
      </w:r>
      <w:r>
        <w:br/>
      </w:r>
      <w:r>
        <w:rPr>
          <w:rFonts w:ascii="Times New Roman"/>
          <w:b w:val="false"/>
          <w:i w:val="false"/>
          <w:color w:val="000000"/>
          <w:sz w:val="28"/>
        </w:rPr>
        <w:t>
</w:t>
      </w:r>
      <w:r>
        <w:rPr>
          <w:rFonts w:ascii="Times New Roman"/>
          <w:b w:val="false"/>
          <w:i w:val="false"/>
          <w:color w:val="000000"/>
          <w:sz w:val="28"/>
        </w:rPr>
        <w:t>
      В случае если параметр принимает значение «да», то данные, передаваемые в рамках транзакций общих процессов, оформляются в виде электронных документов. Данные, передаваемые посредством сигналов-исключений, сигналов-подтверждений и служебных сообщений, не оформляются в виде электронных документов, если иное не определено технологическими документами, регламентирующими информационное взаимодействие, или актами, входящими в право Союза.</w:t>
      </w:r>
      <w:r>
        <w:br/>
      </w:r>
      <w:r>
        <w:rPr>
          <w:rFonts w:ascii="Times New Roman"/>
          <w:b w:val="false"/>
          <w:i w:val="false"/>
          <w:color w:val="000000"/>
          <w:sz w:val="28"/>
        </w:rPr>
        <w:t>
</w:t>
      </w:r>
      <w:r>
        <w:rPr>
          <w:rFonts w:ascii="Times New Roman"/>
          <w:b w:val="false"/>
          <w:i w:val="false"/>
          <w:color w:val="000000"/>
          <w:sz w:val="28"/>
        </w:rPr>
        <w:t>
      В случае если параметр принимает значение «нет», требования настоящего Положения к электронному обмену данными в рамках транзакции общего процесса не применяются.</w:t>
      </w:r>
      <w:r>
        <w:br/>
      </w:r>
      <w:r>
        <w:rPr>
          <w:rFonts w:ascii="Times New Roman"/>
          <w:b w:val="false"/>
          <w:i w:val="false"/>
          <w:color w:val="000000"/>
          <w:sz w:val="28"/>
        </w:rPr>
        <w:t>
</w:t>
      </w:r>
      <w:r>
        <w:rPr>
          <w:rFonts w:ascii="Times New Roman"/>
          <w:b w:val="false"/>
          <w:i w:val="false"/>
          <w:color w:val="000000"/>
          <w:sz w:val="28"/>
        </w:rPr>
        <w:t>
      15. В процессе обмена электронными документами интеграционные шлюзы и сервисы доверенных третьих сторон в пределах национального сегмента государства-члена (интеграционного сегмента Комиссии) обмениваются сообщениями, составленными в соответствии с описанием согласно </w:t>
      </w:r>
      <w:r>
        <w:rPr>
          <w:rFonts w:ascii="Times New Roman"/>
          <w:b w:val="false"/>
          <w:i w:val="false"/>
          <w:color w:val="000000"/>
          <w:sz w:val="28"/>
        </w:rPr>
        <w:t>приложению № 5</w:t>
      </w:r>
      <w:r>
        <w:rPr>
          <w:rFonts w:ascii="Times New Roman"/>
          <w:b w:val="false"/>
          <w:i w:val="false"/>
          <w:color w:val="000000"/>
          <w:sz w:val="28"/>
        </w:rPr>
        <w:t xml:space="preserve"> и передаваемыми посредством протокола электронного обмена данными в соответствии с описанием согласно </w:t>
      </w:r>
      <w:r>
        <w:rPr>
          <w:rFonts w:ascii="Times New Roman"/>
          <w:b w:val="false"/>
          <w:i w:val="false"/>
          <w:color w:val="000000"/>
          <w:sz w:val="28"/>
        </w:rPr>
        <w:t>приложению №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Отправителем выполняются следующие действия:</w:t>
      </w:r>
      <w:r>
        <w:br/>
      </w:r>
      <w:r>
        <w:rPr>
          <w:rFonts w:ascii="Times New Roman"/>
          <w:b w:val="false"/>
          <w:i w:val="false"/>
          <w:color w:val="000000"/>
          <w:sz w:val="28"/>
        </w:rPr>
        <w:t>
</w:t>
      </w:r>
      <w:r>
        <w:rPr>
          <w:rFonts w:ascii="Times New Roman"/>
          <w:b w:val="false"/>
          <w:i w:val="false"/>
          <w:color w:val="000000"/>
          <w:sz w:val="28"/>
        </w:rPr>
        <w:t>
      а) формируется и подписывается электронный документ;</w:t>
      </w:r>
      <w:r>
        <w:br/>
      </w:r>
      <w:r>
        <w:rPr>
          <w:rFonts w:ascii="Times New Roman"/>
          <w:b w:val="false"/>
          <w:i w:val="false"/>
          <w:color w:val="000000"/>
          <w:sz w:val="28"/>
        </w:rPr>
        <w:t>
</w:t>
      </w:r>
      <w:r>
        <w:rPr>
          <w:rFonts w:ascii="Times New Roman"/>
          <w:b w:val="false"/>
          <w:i w:val="false"/>
          <w:color w:val="000000"/>
          <w:sz w:val="28"/>
        </w:rPr>
        <w:t>
      б) оформляется электронный документ в виде сообщения;</w:t>
      </w:r>
      <w:r>
        <w:br/>
      </w:r>
      <w:r>
        <w:rPr>
          <w:rFonts w:ascii="Times New Roman"/>
          <w:b w:val="false"/>
          <w:i w:val="false"/>
          <w:color w:val="000000"/>
          <w:sz w:val="28"/>
        </w:rPr>
        <w:t>
</w:t>
      </w:r>
      <w:r>
        <w:rPr>
          <w:rFonts w:ascii="Times New Roman"/>
          <w:b w:val="false"/>
          <w:i w:val="false"/>
          <w:color w:val="000000"/>
          <w:sz w:val="28"/>
        </w:rPr>
        <w:t>
      в) отправляется сообщение для получателя в интеграционный шлюз отправителя.</w:t>
      </w:r>
      <w:r>
        <w:br/>
      </w:r>
      <w:r>
        <w:rPr>
          <w:rFonts w:ascii="Times New Roman"/>
          <w:b w:val="false"/>
          <w:i w:val="false"/>
          <w:color w:val="000000"/>
          <w:sz w:val="28"/>
        </w:rPr>
        <w:t>
</w:t>
      </w:r>
      <w:r>
        <w:rPr>
          <w:rFonts w:ascii="Times New Roman"/>
          <w:b w:val="false"/>
          <w:i w:val="false"/>
          <w:color w:val="000000"/>
          <w:sz w:val="28"/>
        </w:rPr>
        <w:t>
      17. Интеграционным шлюзом отправителя принимается сообщение от отправителя и формируется новое сообщение для доверенной третьей стороны отправителя, в которое вкладывается полученный электронный документ. Интеграционным шлюзом отправителя сформированное сообщение передается доверенной третьей стороне отправителя.</w:t>
      </w:r>
      <w:r>
        <w:br/>
      </w:r>
      <w:r>
        <w:rPr>
          <w:rFonts w:ascii="Times New Roman"/>
          <w:b w:val="false"/>
          <w:i w:val="false"/>
          <w:color w:val="000000"/>
          <w:sz w:val="28"/>
        </w:rPr>
        <w:t>
</w:t>
      </w:r>
      <w:r>
        <w:rPr>
          <w:rFonts w:ascii="Times New Roman"/>
          <w:b w:val="false"/>
          <w:i w:val="false"/>
          <w:color w:val="000000"/>
          <w:sz w:val="28"/>
        </w:rPr>
        <w:t>
      18. Доверенной третьей стороной отправителя принимается поступившее от интеграционного шлюза отправителя сообщение и для каждой ЭЦП в электронном документе проверяется соблюдение следующих требований в совокупности:</w:t>
      </w:r>
      <w:r>
        <w:br/>
      </w:r>
      <w:r>
        <w:rPr>
          <w:rFonts w:ascii="Times New Roman"/>
          <w:b w:val="false"/>
          <w:i w:val="false"/>
          <w:color w:val="000000"/>
          <w:sz w:val="28"/>
        </w:rPr>
        <w:t>
</w:t>
      </w:r>
      <w:r>
        <w:rPr>
          <w:rFonts w:ascii="Times New Roman"/>
          <w:b w:val="false"/>
          <w:i w:val="false"/>
          <w:color w:val="000000"/>
          <w:sz w:val="28"/>
        </w:rPr>
        <w:t>
      а) целостность данных, подписываемых ЭЦП, не нарушена;</w:t>
      </w:r>
      <w:r>
        <w:br/>
      </w:r>
      <w:r>
        <w:rPr>
          <w:rFonts w:ascii="Times New Roman"/>
          <w:b w:val="false"/>
          <w:i w:val="false"/>
          <w:color w:val="000000"/>
          <w:sz w:val="28"/>
        </w:rPr>
        <w:t>
</w:t>
      </w:r>
      <w:r>
        <w:rPr>
          <w:rFonts w:ascii="Times New Roman"/>
          <w:b w:val="false"/>
          <w:i w:val="false"/>
          <w:color w:val="000000"/>
          <w:sz w:val="28"/>
        </w:rPr>
        <w:t>
      б) ЭЦП выработана с использованием закрытого (личного) ключа, соответствующий сертификат открытого ключа которого (сертификат ключа проверки ЭЦП) указан в составе этой ЭЦП;</w:t>
      </w:r>
      <w:r>
        <w:br/>
      </w:r>
      <w:r>
        <w:rPr>
          <w:rFonts w:ascii="Times New Roman"/>
          <w:b w:val="false"/>
          <w:i w:val="false"/>
          <w:color w:val="000000"/>
          <w:sz w:val="28"/>
        </w:rPr>
        <w:t>
</w:t>
      </w:r>
      <w:r>
        <w:rPr>
          <w:rFonts w:ascii="Times New Roman"/>
          <w:b w:val="false"/>
          <w:i w:val="false"/>
          <w:color w:val="000000"/>
          <w:sz w:val="28"/>
        </w:rPr>
        <w:t>
      в) сертификат ключа проверки ЭЦП действителен на момент подписания электронного документа;</w:t>
      </w:r>
      <w:r>
        <w:br/>
      </w:r>
      <w:r>
        <w:rPr>
          <w:rFonts w:ascii="Times New Roman"/>
          <w:b w:val="false"/>
          <w:i w:val="false"/>
          <w:color w:val="000000"/>
          <w:sz w:val="28"/>
        </w:rPr>
        <w:t>
</w:t>
      </w:r>
      <w:r>
        <w:rPr>
          <w:rFonts w:ascii="Times New Roman"/>
          <w:b w:val="false"/>
          <w:i w:val="false"/>
          <w:color w:val="000000"/>
          <w:sz w:val="28"/>
        </w:rPr>
        <w:t>
      г) каждый сертификат удостоверяющего центра из цепочки сертификатов действителен на момент подписания.</w:t>
      </w:r>
      <w:r>
        <w:br/>
      </w:r>
      <w:r>
        <w:rPr>
          <w:rFonts w:ascii="Times New Roman"/>
          <w:b w:val="false"/>
          <w:i w:val="false"/>
          <w:color w:val="000000"/>
          <w:sz w:val="28"/>
        </w:rPr>
        <w:t>
</w:t>
      </w:r>
      <w:r>
        <w:rPr>
          <w:rFonts w:ascii="Times New Roman"/>
          <w:b w:val="false"/>
          <w:i w:val="false"/>
          <w:color w:val="000000"/>
          <w:sz w:val="28"/>
        </w:rPr>
        <w:t>
      19. По результатам проверки электронного документа доверенной третьей стороной отправителя формируется квитанция доверенной третьей стороны отправителя в соответствии с требованиями, определенными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Положению, и образцом согласно </w:t>
      </w:r>
      <w:r>
        <w:rPr>
          <w:rFonts w:ascii="Times New Roman"/>
          <w:b w:val="false"/>
          <w:i w:val="false"/>
          <w:color w:val="000000"/>
          <w:sz w:val="28"/>
        </w:rPr>
        <w:t>приложению № 7</w:t>
      </w:r>
      <w:r>
        <w:rPr>
          <w:rFonts w:ascii="Times New Roman"/>
          <w:b w:val="false"/>
          <w:i w:val="false"/>
          <w:color w:val="000000"/>
          <w:sz w:val="28"/>
        </w:rPr>
        <w:t>. Квитанция доверенной третьей стороны отправителя подписывается ЭЦП доверенной третьей стороны отправителя в соответствии с криптографическим стандартом службы доверенной третьей стороны интегрированной системы. Для идентификации криптографического стандарта службы доверенной третьей стороны в структуре квитанции используются идентификаторы алгоритмов по перечню согласно </w:t>
      </w:r>
      <w:r>
        <w:rPr>
          <w:rFonts w:ascii="Times New Roman"/>
          <w:b w:val="false"/>
          <w:i w:val="false"/>
          <w:color w:val="000000"/>
          <w:sz w:val="28"/>
        </w:rPr>
        <w:t>приложению №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Временем отправления электронного документа является время подписания доверенной третьей стороной отправителя квитанции доверенной третьей стороны отправителя своей ЭЦП с соответствующим штампом времени в самой квитанции.</w:t>
      </w:r>
      <w:r>
        <w:br/>
      </w:r>
      <w:r>
        <w:rPr>
          <w:rFonts w:ascii="Times New Roman"/>
          <w:b w:val="false"/>
          <w:i w:val="false"/>
          <w:color w:val="000000"/>
          <w:sz w:val="28"/>
        </w:rPr>
        <w:t>
</w:t>
      </w:r>
      <w:r>
        <w:rPr>
          <w:rFonts w:ascii="Times New Roman"/>
          <w:b w:val="false"/>
          <w:i w:val="false"/>
          <w:color w:val="000000"/>
          <w:sz w:val="28"/>
        </w:rPr>
        <w:t>
      21. Доверенной третьей стороной отправителя формируется сообщение для интеграционного шлюза отправителя, в которое вкладываются электронный документ и квитанция доверенной третьей стороны отправителя, и передается в интеграционный шлюз отправителя.</w:t>
      </w:r>
      <w:r>
        <w:br/>
      </w:r>
      <w:r>
        <w:rPr>
          <w:rFonts w:ascii="Times New Roman"/>
          <w:b w:val="false"/>
          <w:i w:val="false"/>
          <w:color w:val="000000"/>
          <w:sz w:val="28"/>
        </w:rPr>
        <w:t>
</w:t>
      </w:r>
      <w:r>
        <w:rPr>
          <w:rFonts w:ascii="Times New Roman"/>
          <w:b w:val="false"/>
          <w:i w:val="false"/>
          <w:color w:val="000000"/>
          <w:sz w:val="28"/>
        </w:rPr>
        <w:t>
      22. Интеграционным шлюзом отправителя принимается сообщение от доверенной третьей стороны отправителя.</w:t>
      </w:r>
      <w:r>
        <w:br/>
      </w:r>
      <w:r>
        <w:rPr>
          <w:rFonts w:ascii="Times New Roman"/>
          <w:b w:val="false"/>
          <w:i w:val="false"/>
          <w:color w:val="000000"/>
          <w:sz w:val="28"/>
        </w:rPr>
        <w:t>
</w:t>
      </w:r>
      <w:r>
        <w:rPr>
          <w:rFonts w:ascii="Times New Roman"/>
          <w:b w:val="false"/>
          <w:i w:val="false"/>
          <w:color w:val="000000"/>
          <w:sz w:val="28"/>
        </w:rPr>
        <w:t>
      23. В случае если квитанция доверенной третьей стороны отправителя свидетельствует об отрицательном результате проверки подлинности электронного документа или ЭЦП в электронном документе, то интеграционным шлюзом отправителя формируется сообщение об ошибке по причине отрицательного результата проверки ЭЦП, которое направляется отправителю.</w:t>
      </w:r>
      <w:r>
        <w:br/>
      </w:r>
      <w:r>
        <w:rPr>
          <w:rFonts w:ascii="Times New Roman"/>
          <w:b w:val="false"/>
          <w:i w:val="false"/>
          <w:color w:val="000000"/>
          <w:sz w:val="28"/>
        </w:rPr>
        <w:t>
      В случае если сообщение об ошибке формируется интеграционным шлюзом интеграционного сегмента Комиссии, оно должно представлять собой технологическое сообщение об ошибке с кодом «int:ReceiptError» в соответствии с Правилами электронного обмена данными.</w:t>
      </w:r>
      <w:r>
        <w:br/>
      </w:r>
      <w:r>
        <w:rPr>
          <w:rFonts w:ascii="Times New Roman"/>
          <w:b w:val="false"/>
          <w:i w:val="false"/>
          <w:color w:val="000000"/>
          <w:sz w:val="28"/>
        </w:rPr>
        <w:t>
</w:t>
      </w:r>
      <w:r>
        <w:rPr>
          <w:rFonts w:ascii="Times New Roman"/>
          <w:b w:val="false"/>
          <w:i w:val="false"/>
          <w:color w:val="000000"/>
          <w:sz w:val="28"/>
        </w:rPr>
        <w:t>
      В случае если сообщение об ошибке формируется интеграционным шлюзом национального сегмента государства-члена, требования к структуре сообщения об ошибке определяются государством-членом.</w:t>
      </w:r>
      <w:r>
        <w:br/>
      </w:r>
      <w:r>
        <w:rPr>
          <w:rFonts w:ascii="Times New Roman"/>
          <w:b w:val="false"/>
          <w:i w:val="false"/>
          <w:color w:val="000000"/>
          <w:sz w:val="28"/>
        </w:rPr>
        <w:t>
</w:t>
      </w:r>
      <w:r>
        <w:rPr>
          <w:rFonts w:ascii="Times New Roman"/>
          <w:b w:val="false"/>
          <w:i w:val="false"/>
          <w:color w:val="000000"/>
          <w:sz w:val="28"/>
        </w:rPr>
        <w:t>
      24. В случае если квитанция доверенной третьей стороны отправителя свидетельствует о положительном результате проверки подлинности электронного документа и ЭЦП в электронном документе, то интеграционным шлюзом отправителя выполняются следующие действия:</w:t>
      </w:r>
      <w:r>
        <w:br/>
      </w:r>
      <w:r>
        <w:rPr>
          <w:rFonts w:ascii="Times New Roman"/>
          <w:b w:val="false"/>
          <w:i w:val="false"/>
          <w:color w:val="000000"/>
          <w:sz w:val="28"/>
        </w:rPr>
        <w:t>
</w:t>
      </w:r>
      <w:r>
        <w:rPr>
          <w:rFonts w:ascii="Times New Roman"/>
          <w:b w:val="false"/>
          <w:i w:val="false"/>
          <w:color w:val="000000"/>
          <w:sz w:val="28"/>
        </w:rPr>
        <w:t>
      а) вложение электронного документа и квитанции доверенной третьей стороны отправителя в сообщение, блок заголовков которого соответствует блоку заголовков сообщения, полученного интеграционным шлюзом отправителя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б) передача сообщения в интеграционный шлюз получателя.</w:t>
      </w:r>
      <w:r>
        <w:br/>
      </w:r>
      <w:r>
        <w:rPr>
          <w:rFonts w:ascii="Times New Roman"/>
          <w:b w:val="false"/>
          <w:i w:val="false"/>
          <w:color w:val="000000"/>
          <w:sz w:val="28"/>
        </w:rPr>
        <w:t>
</w:t>
      </w:r>
      <w:r>
        <w:rPr>
          <w:rFonts w:ascii="Times New Roman"/>
          <w:b w:val="false"/>
          <w:i w:val="false"/>
          <w:color w:val="000000"/>
          <w:sz w:val="28"/>
        </w:rPr>
        <w:t>
      25. Интеграционным шлюзом получателя принимается от интеграционного шлюза отправителя сообщение и формируется новое сообщение для доверенной третьей стороны получателя, в которое вкладываются полученный электронный документ и квитанция доверенной третьей стороны отправителя. Сформированное сообщение передается интеграционным шлюзом получателя доверенной третьей стороне получателя.</w:t>
      </w:r>
      <w:r>
        <w:br/>
      </w:r>
      <w:r>
        <w:rPr>
          <w:rFonts w:ascii="Times New Roman"/>
          <w:b w:val="false"/>
          <w:i w:val="false"/>
          <w:color w:val="000000"/>
          <w:sz w:val="28"/>
        </w:rPr>
        <w:t>
</w:t>
      </w:r>
      <w:r>
        <w:rPr>
          <w:rFonts w:ascii="Times New Roman"/>
          <w:b w:val="false"/>
          <w:i w:val="false"/>
          <w:color w:val="000000"/>
          <w:sz w:val="28"/>
        </w:rPr>
        <w:t>
      26. Доверенной третьей стороной получателя принимается поступившее от интеграционного шлюза получателя сообщение и проверяется соблюдение следующих требований в совокупности:</w:t>
      </w:r>
      <w:r>
        <w:br/>
      </w:r>
      <w:r>
        <w:rPr>
          <w:rFonts w:ascii="Times New Roman"/>
          <w:b w:val="false"/>
          <w:i w:val="false"/>
          <w:color w:val="000000"/>
          <w:sz w:val="28"/>
        </w:rPr>
        <w:t>
</w:t>
      </w:r>
      <w:r>
        <w:rPr>
          <w:rFonts w:ascii="Times New Roman"/>
          <w:b w:val="false"/>
          <w:i w:val="false"/>
          <w:color w:val="000000"/>
          <w:sz w:val="28"/>
        </w:rPr>
        <w:t>
      а) в сообщение вложена квитанция доверенной третьей стороны отправителя;</w:t>
      </w:r>
      <w:r>
        <w:br/>
      </w:r>
      <w:r>
        <w:rPr>
          <w:rFonts w:ascii="Times New Roman"/>
          <w:b w:val="false"/>
          <w:i w:val="false"/>
          <w:color w:val="000000"/>
          <w:sz w:val="28"/>
        </w:rPr>
        <w:t>
</w:t>
      </w:r>
      <w:r>
        <w:rPr>
          <w:rFonts w:ascii="Times New Roman"/>
          <w:b w:val="false"/>
          <w:i w:val="false"/>
          <w:color w:val="000000"/>
          <w:sz w:val="28"/>
        </w:rPr>
        <w:t>
      б) целостность электронного документа, на который сформирована квитанция доверенной третьей стороны отправителя, не нарушена;</w:t>
      </w:r>
      <w:r>
        <w:br/>
      </w:r>
      <w:r>
        <w:rPr>
          <w:rFonts w:ascii="Times New Roman"/>
          <w:b w:val="false"/>
          <w:i w:val="false"/>
          <w:color w:val="000000"/>
          <w:sz w:val="28"/>
        </w:rPr>
        <w:t>
</w:t>
      </w:r>
      <w:r>
        <w:rPr>
          <w:rFonts w:ascii="Times New Roman"/>
          <w:b w:val="false"/>
          <w:i w:val="false"/>
          <w:color w:val="000000"/>
          <w:sz w:val="28"/>
        </w:rPr>
        <w:t>
      в) квитанция подписана ЭЦП доверенной третьей стороны отправителя, выработанной с использованием закрытого (личного) ключа доверенной третьей стороны отправителя, соответствующий сертификат открытого ключа которого (сертификат ключа проверки ЭЦП) указан в составе этой ЭЦП;</w:t>
      </w:r>
      <w:r>
        <w:br/>
      </w:r>
      <w:r>
        <w:rPr>
          <w:rFonts w:ascii="Times New Roman"/>
          <w:b w:val="false"/>
          <w:i w:val="false"/>
          <w:color w:val="000000"/>
          <w:sz w:val="28"/>
        </w:rPr>
        <w:t>
</w:t>
      </w:r>
      <w:r>
        <w:rPr>
          <w:rFonts w:ascii="Times New Roman"/>
          <w:b w:val="false"/>
          <w:i w:val="false"/>
          <w:color w:val="000000"/>
          <w:sz w:val="28"/>
        </w:rPr>
        <w:t>
      г) сертификат ключа проверки ЭЦП доверенной третьей стороны отправителя изготовлен удостоверяющим центром службы доверенной третьей стороны интегрированной системы и действителен на момент подписания квитанции доверенной третьей стороны отправителя;</w:t>
      </w:r>
      <w:r>
        <w:br/>
      </w:r>
      <w:r>
        <w:rPr>
          <w:rFonts w:ascii="Times New Roman"/>
          <w:b w:val="false"/>
          <w:i w:val="false"/>
          <w:color w:val="000000"/>
          <w:sz w:val="28"/>
        </w:rPr>
        <w:t>
</w:t>
      </w:r>
      <w:r>
        <w:rPr>
          <w:rFonts w:ascii="Times New Roman"/>
          <w:b w:val="false"/>
          <w:i w:val="false"/>
          <w:color w:val="000000"/>
          <w:sz w:val="28"/>
        </w:rPr>
        <w:t>
      д) сертификат ключа проверки ЭЦП удостоверяющего центра службы доверенной третьей стороны интегрированной системы действителен на момент подписания квитанции доверенной третьей стороны отправителя;</w:t>
      </w:r>
      <w:r>
        <w:br/>
      </w:r>
      <w:r>
        <w:rPr>
          <w:rFonts w:ascii="Times New Roman"/>
          <w:b w:val="false"/>
          <w:i w:val="false"/>
          <w:color w:val="000000"/>
          <w:sz w:val="28"/>
        </w:rPr>
        <w:t>
</w:t>
      </w:r>
      <w:r>
        <w:rPr>
          <w:rFonts w:ascii="Times New Roman"/>
          <w:b w:val="false"/>
          <w:i w:val="false"/>
          <w:color w:val="000000"/>
          <w:sz w:val="28"/>
        </w:rPr>
        <w:t>
      е) тквитанция доверенной третьей стороны отправителя свидетельствует о положительном результате проверки подлинности электронного документа и ЭЦП в электронном документе.</w:t>
      </w:r>
      <w:r>
        <w:br/>
      </w:r>
      <w:r>
        <w:rPr>
          <w:rFonts w:ascii="Times New Roman"/>
          <w:b w:val="false"/>
          <w:i w:val="false"/>
          <w:color w:val="000000"/>
          <w:sz w:val="28"/>
        </w:rPr>
        <w:t>
</w:t>
      </w:r>
      <w:r>
        <w:rPr>
          <w:rFonts w:ascii="Times New Roman"/>
          <w:b w:val="false"/>
          <w:i w:val="false"/>
          <w:color w:val="000000"/>
          <w:sz w:val="28"/>
        </w:rPr>
        <w:t>
      27. По результатам проверки электронного документа и квитанции доверенной третьей стороны отправителя формируется квитанция доверенной третьей стороны получателя, которая подписывается ЭЦП в соответствии с криптографическим стандартом юрисдикции получателя. Квитанция доверенной третьей стороны отправителя включается в состав квитанции доверенной третьей стороны получателя. Обработка доверенной третьей стороной получателя квитанции доверенной третьей стороны отправителя и формирование квитанции для получателя осуществляются в соответствии с требованиями, определенными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Положению. Для идентификации криптографического стандарта юрисдикции получателя электронного документа, в структуре квитанции используются идентификаторы алгоритмов, предусмотренные </w:t>
      </w:r>
      <w:r>
        <w:rPr>
          <w:rFonts w:ascii="Times New Roman"/>
          <w:b w:val="false"/>
          <w:i w:val="false"/>
          <w:color w:val="000000"/>
          <w:sz w:val="28"/>
        </w:rPr>
        <w:t>приложением № 8</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28. Временем получения электронного документа является время подписания доверенной третьей стороной получателя квитанции доверенной третьей стороны получателя своей ЭЦП с соответствующим штампом времени в самой квитанции.</w:t>
      </w:r>
      <w:r>
        <w:br/>
      </w:r>
      <w:r>
        <w:rPr>
          <w:rFonts w:ascii="Times New Roman"/>
          <w:b w:val="false"/>
          <w:i w:val="false"/>
          <w:color w:val="000000"/>
          <w:sz w:val="28"/>
        </w:rPr>
        <w:t>
</w:t>
      </w:r>
      <w:r>
        <w:rPr>
          <w:rFonts w:ascii="Times New Roman"/>
          <w:b w:val="false"/>
          <w:i w:val="false"/>
          <w:color w:val="000000"/>
          <w:sz w:val="28"/>
        </w:rPr>
        <w:t>
      29. Доверенной третьей стороной получателя формируется сообщение, в которое вкладываются электронный документ и квитанция доверенной третьей стороны получателя, и передается в интеграционный шлюз получателя.</w:t>
      </w:r>
      <w:r>
        <w:br/>
      </w:r>
      <w:r>
        <w:rPr>
          <w:rFonts w:ascii="Times New Roman"/>
          <w:b w:val="false"/>
          <w:i w:val="false"/>
          <w:color w:val="000000"/>
          <w:sz w:val="28"/>
        </w:rPr>
        <w:t>
</w:t>
      </w:r>
      <w:r>
        <w:rPr>
          <w:rFonts w:ascii="Times New Roman"/>
          <w:b w:val="false"/>
          <w:i w:val="false"/>
          <w:color w:val="000000"/>
          <w:sz w:val="28"/>
        </w:rPr>
        <w:t>
      30. Интеграционным шлюзом получателя принимается сообщение от доверенной третьей стороны получателя.</w:t>
      </w:r>
      <w:r>
        <w:br/>
      </w:r>
      <w:r>
        <w:rPr>
          <w:rFonts w:ascii="Times New Roman"/>
          <w:b w:val="false"/>
          <w:i w:val="false"/>
          <w:color w:val="000000"/>
          <w:sz w:val="28"/>
        </w:rPr>
        <w:t>
</w:t>
      </w:r>
      <w:r>
        <w:rPr>
          <w:rFonts w:ascii="Times New Roman"/>
          <w:b w:val="false"/>
          <w:i w:val="false"/>
          <w:color w:val="000000"/>
          <w:sz w:val="28"/>
        </w:rPr>
        <w:t>
      31. В случае если квитанция доверенной третьей стороны получателя свидетельствует об отрицательном результате проверки подлинности электронного документа или ЭЦП в квитанции доверенной третьей стороны отправителя, то интеграционным шлюзом получателя формируется технологическое сообщение об ошибке с кодом «int:ReceiptError» в соответствии с Правилами электронного обмена данными, которое направляется отправителю.</w:t>
      </w:r>
      <w:r>
        <w:br/>
      </w:r>
      <w:r>
        <w:rPr>
          <w:rFonts w:ascii="Times New Roman"/>
          <w:b w:val="false"/>
          <w:i w:val="false"/>
          <w:color w:val="000000"/>
          <w:sz w:val="28"/>
        </w:rPr>
        <w:t>
</w:t>
      </w:r>
      <w:r>
        <w:rPr>
          <w:rFonts w:ascii="Times New Roman"/>
          <w:b w:val="false"/>
          <w:i w:val="false"/>
          <w:color w:val="000000"/>
          <w:sz w:val="28"/>
        </w:rPr>
        <w:t>
      32. В случае если квитанция доверенной третьей стороны получателя свидетельствует о положительном результате проверки подлинности электронного документа и ЭЦП в квитанции доверенной третьей стороны отправителя, то интеграционным шлюзом получателя выполняются следующие действия:</w:t>
      </w:r>
      <w:r>
        <w:br/>
      </w:r>
      <w:r>
        <w:rPr>
          <w:rFonts w:ascii="Times New Roman"/>
          <w:b w:val="false"/>
          <w:i w:val="false"/>
          <w:color w:val="000000"/>
          <w:sz w:val="28"/>
        </w:rPr>
        <w:t>
</w:t>
      </w:r>
      <w:r>
        <w:rPr>
          <w:rFonts w:ascii="Times New Roman"/>
          <w:b w:val="false"/>
          <w:i w:val="false"/>
          <w:color w:val="000000"/>
          <w:sz w:val="28"/>
        </w:rPr>
        <w:t>
      а) вложение электронного документа и квитанции доверенной третьей стороны получателя в сообщение, блок заголовков которого соответствует блоку заголовков сообщения, полученного от интеграционного шлюза отправителя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б) передача сообщения получателю.</w:t>
      </w:r>
      <w:r>
        <w:br/>
      </w:r>
      <w:r>
        <w:rPr>
          <w:rFonts w:ascii="Times New Roman"/>
          <w:b w:val="false"/>
          <w:i w:val="false"/>
          <w:color w:val="000000"/>
          <w:sz w:val="28"/>
        </w:rPr>
        <w:t>
</w:t>
      </w:r>
      <w:r>
        <w:rPr>
          <w:rFonts w:ascii="Times New Roman"/>
          <w:b w:val="false"/>
          <w:i w:val="false"/>
          <w:color w:val="000000"/>
          <w:sz w:val="28"/>
        </w:rPr>
        <w:t>
      33. Получателем принимается поступившее от интеграционного шлюза получателя сообщение и проверяется соблюдение следующих требований в совокупности:</w:t>
      </w:r>
      <w:r>
        <w:br/>
      </w:r>
      <w:r>
        <w:rPr>
          <w:rFonts w:ascii="Times New Roman"/>
          <w:b w:val="false"/>
          <w:i w:val="false"/>
          <w:color w:val="000000"/>
          <w:sz w:val="28"/>
        </w:rPr>
        <w:t>
</w:t>
      </w:r>
      <w:r>
        <w:rPr>
          <w:rFonts w:ascii="Times New Roman"/>
          <w:b w:val="false"/>
          <w:i w:val="false"/>
          <w:color w:val="000000"/>
          <w:sz w:val="28"/>
        </w:rPr>
        <w:t>
      а) в сообщение вложена квитанция доверенной третьей стороны получателя;</w:t>
      </w:r>
      <w:r>
        <w:br/>
      </w:r>
      <w:r>
        <w:rPr>
          <w:rFonts w:ascii="Times New Roman"/>
          <w:b w:val="false"/>
          <w:i w:val="false"/>
          <w:color w:val="000000"/>
          <w:sz w:val="28"/>
        </w:rPr>
        <w:t>
</w:t>
      </w:r>
      <w:r>
        <w:rPr>
          <w:rFonts w:ascii="Times New Roman"/>
          <w:b w:val="false"/>
          <w:i w:val="false"/>
          <w:color w:val="000000"/>
          <w:sz w:val="28"/>
        </w:rPr>
        <w:t>
      б) целостность электронного документа, на который сформирована квитанция доверенной третьей стороны получателя, не нарушена;</w:t>
      </w:r>
      <w:r>
        <w:br/>
      </w:r>
      <w:r>
        <w:rPr>
          <w:rFonts w:ascii="Times New Roman"/>
          <w:b w:val="false"/>
          <w:i w:val="false"/>
          <w:color w:val="000000"/>
          <w:sz w:val="28"/>
        </w:rPr>
        <w:t>
</w:t>
      </w:r>
      <w:r>
        <w:rPr>
          <w:rFonts w:ascii="Times New Roman"/>
          <w:b w:val="false"/>
          <w:i w:val="false"/>
          <w:color w:val="000000"/>
          <w:sz w:val="28"/>
        </w:rPr>
        <w:t>
      в) ЭЦП в квитанции доверенной третьей стороны получателя выработана с использованием закрытого (личного) ключа доверенной третьей стороны получателя, соответствующий сертификат открытого ключа которого (сертификат ключа проверки ЭЦП) указан в составе этой ЭЦП;</w:t>
      </w:r>
      <w:r>
        <w:br/>
      </w:r>
      <w:r>
        <w:rPr>
          <w:rFonts w:ascii="Times New Roman"/>
          <w:b w:val="false"/>
          <w:i w:val="false"/>
          <w:color w:val="000000"/>
          <w:sz w:val="28"/>
        </w:rPr>
        <w:t>
</w:t>
      </w:r>
      <w:r>
        <w:rPr>
          <w:rFonts w:ascii="Times New Roman"/>
          <w:b w:val="false"/>
          <w:i w:val="false"/>
          <w:color w:val="000000"/>
          <w:sz w:val="28"/>
        </w:rPr>
        <w:t>
      г) сертификат ключа проверки ЭЦП доверенной третьей стороны получателя действителен на момент подписания квитанции;</w:t>
      </w:r>
      <w:r>
        <w:br/>
      </w:r>
      <w:r>
        <w:rPr>
          <w:rFonts w:ascii="Times New Roman"/>
          <w:b w:val="false"/>
          <w:i w:val="false"/>
          <w:color w:val="000000"/>
          <w:sz w:val="28"/>
        </w:rPr>
        <w:t>
</w:t>
      </w:r>
      <w:r>
        <w:rPr>
          <w:rFonts w:ascii="Times New Roman"/>
          <w:b w:val="false"/>
          <w:i w:val="false"/>
          <w:color w:val="000000"/>
          <w:sz w:val="28"/>
        </w:rPr>
        <w:t>
      д) квитанция доверенной третьей стороны получателя свидетельствует о положительном результате проверки подлинности электронного документа.</w:t>
      </w:r>
      <w:r>
        <w:br/>
      </w:r>
      <w:r>
        <w:rPr>
          <w:rFonts w:ascii="Times New Roman"/>
          <w:b w:val="false"/>
          <w:i w:val="false"/>
          <w:color w:val="000000"/>
          <w:sz w:val="28"/>
        </w:rPr>
        <w:t>
</w:t>
      </w:r>
      <w:r>
        <w:rPr>
          <w:rFonts w:ascii="Times New Roman"/>
          <w:b w:val="false"/>
          <w:i w:val="false"/>
          <w:color w:val="000000"/>
          <w:sz w:val="28"/>
        </w:rPr>
        <w:t>
      34. Решение об обработке электронного документа принимается получателем, если подтверждено соблюдение всех требований, предусмотренных пунктом 33 настоящего Положения. В ином случае принимается решение об отказе в обработке электронного документа.</w:t>
      </w:r>
      <w:r>
        <w:br/>
      </w:r>
      <w:r>
        <w:rPr>
          <w:rFonts w:ascii="Times New Roman"/>
          <w:b w:val="false"/>
          <w:i w:val="false"/>
          <w:color w:val="000000"/>
          <w:sz w:val="28"/>
        </w:rPr>
        <w:t>
</w:t>
      </w:r>
      <w:r>
        <w:rPr>
          <w:rFonts w:ascii="Times New Roman"/>
          <w:b w:val="false"/>
          <w:i w:val="false"/>
          <w:color w:val="000000"/>
          <w:sz w:val="28"/>
        </w:rPr>
        <w:t>
      35. В случае если получателем принято решение об отказе в обработке электронного документа, он уведомляет об этом отправителя путем направления отправителю сигнала-исключения «Ошибка» с кодом «Signature:Error», сформированного в соответствии с Правилами электронного обмена данными.</w:t>
      </w:r>
    </w:p>
    <w:bookmarkEnd w:id="11"/>
    <w:bookmarkStart w:name="z122" w:id="12"/>
    <w:p>
      <w:pPr>
        <w:spacing w:after="0"/>
        <w:ind w:left="0"/>
        <w:jc w:val="left"/>
      </w:pPr>
      <w:r>
        <w:rPr>
          <w:rFonts w:ascii="Times New Roman"/>
          <w:b/>
          <w:i w:val="false"/>
          <w:color w:val="000000"/>
        </w:rPr>
        <w:t xml:space="preserve"> 
3. Разрешение нештатных ситуаций, возникающих при</w:t>
      </w:r>
      <w:r>
        <w:br/>
      </w:r>
      <w:r>
        <w:rPr>
          <w:rFonts w:ascii="Times New Roman"/>
          <w:b/>
          <w:i w:val="false"/>
          <w:color w:val="000000"/>
        </w:rPr>
        <w:t>
обмене электронными документами</w:t>
      </w:r>
    </w:p>
    <w:bookmarkEnd w:id="12"/>
    <w:bookmarkStart w:name="z123" w:id="13"/>
    <w:p>
      <w:pPr>
        <w:spacing w:after="0"/>
        <w:ind w:left="0"/>
        <w:jc w:val="both"/>
      </w:pPr>
      <w:r>
        <w:rPr>
          <w:rFonts w:ascii="Times New Roman"/>
          <w:b w:val="false"/>
          <w:i w:val="false"/>
          <w:color w:val="000000"/>
          <w:sz w:val="28"/>
        </w:rPr>
        <w:t>
      36. Нештатной признается ситуация, возникающая при обмене электронными документами, при которой обработка данных по причине технических сбоев, несоответствия структуры электронных документов или сообщений установленным правилам либо по другим основаниям не может быть произведена в установленном порядке.</w:t>
      </w:r>
      <w:r>
        <w:br/>
      </w:r>
      <w:r>
        <w:rPr>
          <w:rFonts w:ascii="Times New Roman"/>
          <w:b w:val="false"/>
          <w:i w:val="false"/>
          <w:color w:val="000000"/>
          <w:sz w:val="28"/>
        </w:rPr>
        <w:t>
</w:t>
      </w:r>
      <w:r>
        <w:rPr>
          <w:rFonts w:ascii="Times New Roman"/>
          <w:b w:val="false"/>
          <w:i w:val="false"/>
          <w:color w:val="000000"/>
          <w:sz w:val="28"/>
        </w:rPr>
        <w:t>
      37. Разрешением нештатных ситуаций занимаются технические подразделения доверенных третьих сторон и организаций – операторов интеграционных шлюзов.</w:t>
      </w:r>
      <w:r>
        <w:br/>
      </w:r>
      <w:r>
        <w:rPr>
          <w:rFonts w:ascii="Times New Roman"/>
          <w:b w:val="false"/>
          <w:i w:val="false"/>
          <w:color w:val="000000"/>
          <w:sz w:val="28"/>
        </w:rPr>
        <w:t>
</w:t>
      </w:r>
      <w:r>
        <w:rPr>
          <w:rFonts w:ascii="Times New Roman"/>
          <w:b w:val="false"/>
          <w:i w:val="false"/>
          <w:color w:val="000000"/>
          <w:sz w:val="28"/>
        </w:rPr>
        <w:t>
      38. В каждом сегменте интегрированной системы создаются свои технические подразделения, обеспечивающие разрешение нештатных ситуаций.</w:t>
      </w:r>
      <w:r>
        <w:br/>
      </w:r>
      <w:r>
        <w:rPr>
          <w:rFonts w:ascii="Times New Roman"/>
          <w:b w:val="false"/>
          <w:i w:val="false"/>
          <w:color w:val="000000"/>
          <w:sz w:val="28"/>
        </w:rPr>
        <w:t>
</w:t>
      </w:r>
      <w:r>
        <w:rPr>
          <w:rFonts w:ascii="Times New Roman"/>
          <w:b w:val="false"/>
          <w:i w:val="false"/>
          <w:color w:val="000000"/>
          <w:sz w:val="28"/>
        </w:rPr>
        <w:t>
      39. Доверенная третья сторона оформляет и направляет в интеграционный шлюз своего сегмента технологическое сообщение об ошибке в том случае, если при обработке входящего сообщения возникла любая из следующих критических ошибок, не позволяющих обработать входящее сообщение в штатном режиме:</w:t>
      </w:r>
      <w:r>
        <w:br/>
      </w:r>
      <w:r>
        <w:rPr>
          <w:rFonts w:ascii="Times New Roman"/>
          <w:b w:val="false"/>
          <w:i w:val="false"/>
          <w:color w:val="000000"/>
          <w:sz w:val="28"/>
        </w:rPr>
        <w:t>
</w:t>
      </w:r>
      <w:r>
        <w:rPr>
          <w:rFonts w:ascii="Times New Roman"/>
          <w:b w:val="false"/>
          <w:i w:val="false"/>
          <w:color w:val="000000"/>
          <w:sz w:val="28"/>
        </w:rPr>
        <w:t>
      а) несоответствие формата и структуры сообщения требованиям, определенным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б) несоответствие формата и структуры электронного документа, вложенного в сообщение, требованиям, определенным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Положению, и схеме данных, предусмотренной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в) несоответствие формата и структуры квитанции доверенной третьей стороны отправителя, вложенной в сообщение, требованиям, определенным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г) ошибки, возникшие в процессе обработки сообщения или входящих в состав сообщения структур данных.</w:t>
      </w:r>
      <w:r>
        <w:br/>
      </w:r>
      <w:r>
        <w:rPr>
          <w:rFonts w:ascii="Times New Roman"/>
          <w:b w:val="false"/>
          <w:i w:val="false"/>
          <w:color w:val="000000"/>
          <w:sz w:val="28"/>
        </w:rPr>
        <w:t>
</w:t>
      </w:r>
      <w:r>
        <w:rPr>
          <w:rFonts w:ascii="Times New Roman"/>
          <w:b w:val="false"/>
          <w:i w:val="false"/>
          <w:color w:val="000000"/>
          <w:sz w:val="28"/>
        </w:rPr>
        <w:t>
      40. Формирование технологических сообщений об ошибке осуществляется в соответствии с </w:t>
      </w:r>
      <w:r>
        <w:rPr>
          <w:rFonts w:ascii="Times New Roman"/>
          <w:b w:val="false"/>
          <w:i w:val="false"/>
          <w:color w:val="000000"/>
          <w:sz w:val="28"/>
        </w:rPr>
        <w:t>приложением № 5</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41. При получении от доверенной третьей стороны технологического сообщения об ошибке интеграционным шлюзом формируется и направляется в адрес отправителя сообщение об ошибке, свидетельствующее о невозможности дальнейшей передачи электронного документа получателю.</w:t>
      </w:r>
      <w:r>
        <w:br/>
      </w:r>
      <w:r>
        <w:rPr>
          <w:rFonts w:ascii="Times New Roman"/>
          <w:b w:val="false"/>
          <w:i w:val="false"/>
          <w:color w:val="000000"/>
          <w:sz w:val="28"/>
        </w:rPr>
        <w:t>
</w:t>
      </w:r>
      <w:r>
        <w:rPr>
          <w:rFonts w:ascii="Times New Roman"/>
          <w:b w:val="false"/>
          <w:i w:val="false"/>
          <w:color w:val="000000"/>
          <w:sz w:val="28"/>
        </w:rPr>
        <w:t>
      42. К формату и структуре указанного в пункте 41 настоящего Положения сообщения об ошибке предъявляются следующие требования:</w:t>
      </w:r>
      <w:r>
        <w:br/>
      </w:r>
      <w:r>
        <w:rPr>
          <w:rFonts w:ascii="Times New Roman"/>
          <w:b w:val="false"/>
          <w:i w:val="false"/>
          <w:color w:val="000000"/>
          <w:sz w:val="28"/>
        </w:rPr>
        <w:t>
</w:t>
      </w:r>
      <w:r>
        <w:rPr>
          <w:rFonts w:ascii="Times New Roman"/>
          <w:b w:val="false"/>
          <w:i w:val="false"/>
          <w:color w:val="000000"/>
          <w:sz w:val="28"/>
        </w:rPr>
        <w:t>
      а) в случае если сообщение об ошибке формируется интеграционным шлюзом получателя, оно должно представлять собой технологическое сообщение об ошибке с кодом «int:InternalError» в соответствии с Правилами электронного обмена данными;</w:t>
      </w:r>
      <w:r>
        <w:br/>
      </w:r>
      <w:r>
        <w:rPr>
          <w:rFonts w:ascii="Times New Roman"/>
          <w:b w:val="false"/>
          <w:i w:val="false"/>
          <w:color w:val="000000"/>
          <w:sz w:val="28"/>
        </w:rPr>
        <w:t>
</w:t>
      </w:r>
      <w:r>
        <w:rPr>
          <w:rFonts w:ascii="Times New Roman"/>
          <w:b w:val="false"/>
          <w:i w:val="false"/>
          <w:color w:val="000000"/>
          <w:sz w:val="28"/>
        </w:rPr>
        <w:t>
      б) в случае если сообщение об ошибке формируется интеграционным шлюзом отправителя, требования к формату и структуре сообщения об ошибке определяются государством-членом.</w:t>
      </w:r>
      <w:r>
        <w:br/>
      </w:r>
      <w:r>
        <w:rPr>
          <w:rFonts w:ascii="Times New Roman"/>
          <w:b w:val="false"/>
          <w:i w:val="false"/>
          <w:color w:val="000000"/>
          <w:sz w:val="28"/>
        </w:rPr>
        <w:t>
</w:t>
      </w:r>
      <w:r>
        <w:rPr>
          <w:rFonts w:ascii="Times New Roman"/>
          <w:b w:val="false"/>
          <w:i w:val="false"/>
          <w:color w:val="000000"/>
          <w:sz w:val="28"/>
        </w:rPr>
        <w:t>
      43. В рамках функционирования интегрированной системы организуется взаимодействие между техническими подразделениями доверенных третьих сторон и организаций – операторов интеграционных шлюзов.</w:t>
      </w:r>
      <w:r>
        <w:br/>
      </w:r>
      <w:r>
        <w:rPr>
          <w:rFonts w:ascii="Times New Roman"/>
          <w:b w:val="false"/>
          <w:i w:val="false"/>
          <w:color w:val="000000"/>
          <w:sz w:val="28"/>
        </w:rPr>
        <w:t>
</w:t>
      </w:r>
      <w:r>
        <w:rPr>
          <w:rFonts w:ascii="Times New Roman"/>
          <w:b w:val="false"/>
          <w:i w:val="false"/>
          <w:color w:val="000000"/>
          <w:sz w:val="28"/>
        </w:rPr>
        <w:t>
      44. В целях разрешения нештатных ситуаций каждой доверенной третьей стороной ведется журнал аудита, содержащий информацию о приеме, обработке, отправке сообщений и электронных документов, а также о формировании квитанций доверенной третьей стороны, в соответствии с перечнем логических операций и событий согласно</w:t>
      </w:r>
      <w:r>
        <w:rPr>
          <w:rFonts w:ascii="Times New Roman"/>
          <w:b w:val="false"/>
          <w:i w:val="false"/>
          <w:color w:val="000000"/>
          <w:sz w:val="28"/>
        </w:rPr>
        <w:t xml:space="preserve"> приложению № 9</w:t>
      </w:r>
      <w:r>
        <w:rPr>
          <w:rFonts w:ascii="Times New Roman"/>
          <w:b w:val="false"/>
          <w:i w:val="false"/>
          <w:color w:val="000000"/>
          <w:sz w:val="28"/>
        </w:rPr>
        <w:t>.</w:t>
      </w:r>
    </w:p>
    <w:bookmarkEnd w:id="13"/>
    <w:bookmarkStart w:name="z140" w:id="14"/>
    <w:p>
      <w:pPr>
        <w:spacing w:after="0"/>
        <w:ind w:left="0"/>
        <w:jc w:val="left"/>
      </w:pPr>
      <w:r>
        <w:rPr>
          <w:rFonts w:ascii="Times New Roman"/>
          <w:b/>
          <w:i w:val="false"/>
          <w:color w:val="000000"/>
        </w:rPr>
        <w:t xml:space="preserve"> 
IV. Разрешение конфликтных ситуаций</w:t>
      </w:r>
    </w:p>
    <w:bookmarkEnd w:id="14"/>
    <w:bookmarkStart w:name="z141" w:id="15"/>
    <w:p>
      <w:pPr>
        <w:spacing w:after="0"/>
        <w:ind w:left="0"/>
        <w:jc w:val="both"/>
      </w:pPr>
      <w:r>
        <w:rPr>
          <w:rFonts w:ascii="Times New Roman"/>
          <w:b w:val="false"/>
          <w:i w:val="false"/>
          <w:color w:val="000000"/>
          <w:sz w:val="28"/>
        </w:rPr>
        <w:t>
      45. Конфликтной признается ситуация, которая возникает при обмене электронными документами и при которой каким-либо участником обмена электронными документами оспаривается подлинность ЭЦП.</w:t>
      </w:r>
      <w:r>
        <w:br/>
      </w:r>
      <w:r>
        <w:rPr>
          <w:rFonts w:ascii="Times New Roman"/>
          <w:b w:val="false"/>
          <w:i w:val="false"/>
          <w:color w:val="000000"/>
          <w:sz w:val="28"/>
        </w:rPr>
        <w:t>
</w:t>
      </w:r>
      <w:r>
        <w:rPr>
          <w:rFonts w:ascii="Times New Roman"/>
          <w:b w:val="false"/>
          <w:i w:val="false"/>
          <w:color w:val="000000"/>
          <w:sz w:val="28"/>
        </w:rPr>
        <w:t>
      46. Конфликтные ситуации подлежат разрешению в соответствии с порядком разрешения конфликтных ситуаций, утверждаемым Комиссией.</w:t>
      </w:r>
    </w:p>
    <w:bookmarkEnd w:id="15"/>
    <w:bookmarkStart w:name="z143" w:id="16"/>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Положению об обмене электронными</w:t>
      </w:r>
      <w:r>
        <w:br/>
      </w:r>
      <w:r>
        <w:rPr>
          <w:rFonts w:ascii="Times New Roman"/>
          <w:b w:val="false"/>
          <w:i w:val="false"/>
          <w:color w:val="000000"/>
          <w:sz w:val="28"/>
        </w:rPr>
        <w:t xml:space="preserve">
документами при трансграничном  </w:t>
      </w:r>
      <w:r>
        <w:br/>
      </w:r>
      <w:r>
        <w:rPr>
          <w:rFonts w:ascii="Times New Roman"/>
          <w:b w:val="false"/>
          <w:i w:val="false"/>
          <w:color w:val="000000"/>
          <w:sz w:val="28"/>
        </w:rPr>
        <w:t>
взаимодействии органов государственной</w:t>
      </w:r>
      <w:r>
        <w:br/>
      </w:r>
      <w:r>
        <w:rPr>
          <w:rFonts w:ascii="Times New Roman"/>
          <w:b w:val="false"/>
          <w:i w:val="false"/>
          <w:color w:val="000000"/>
          <w:sz w:val="28"/>
        </w:rPr>
        <w:t>
власти государств – членов Евразийского</w:t>
      </w:r>
      <w:r>
        <w:br/>
      </w:r>
      <w:r>
        <w:rPr>
          <w:rFonts w:ascii="Times New Roman"/>
          <w:b w:val="false"/>
          <w:i w:val="false"/>
          <w:color w:val="000000"/>
          <w:sz w:val="28"/>
        </w:rPr>
        <w:t xml:space="preserve">
экономического союза между собой и </w:t>
      </w:r>
      <w:r>
        <w:br/>
      </w:r>
      <w:r>
        <w:rPr>
          <w:rFonts w:ascii="Times New Roman"/>
          <w:b w:val="false"/>
          <w:i w:val="false"/>
          <w:color w:val="000000"/>
          <w:sz w:val="28"/>
        </w:rPr>
        <w:t>
с Евразийской экономической комиссией</w:t>
      </w:r>
    </w:p>
    <w:bookmarkEnd w:id="16"/>
    <w:bookmarkStart w:name="z144" w:id="17"/>
    <w:p>
      <w:pPr>
        <w:spacing w:after="0"/>
        <w:ind w:left="0"/>
        <w:jc w:val="left"/>
      </w:pPr>
      <w:r>
        <w:rPr>
          <w:rFonts w:ascii="Times New Roman"/>
          <w:b/>
          <w:i w:val="false"/>
          <w:color w:val="000000"/>
        </w:rPr>
        <w:t xml:space="preserve"> 
ТРЕБОВАНИЯ</w:t>
      </w:r>
      <w:r>
        <w:br/>
      </w:r>
      <w:r>
        <w:rPr>
          <w:rFonts w:ascii="Times New Roman"/>
          <w:b/>
          <w:i w:val="false"/>
          <w:color w:val="000000"/>
        </w:rPr>
        <w:t>
к формированию и обработке электронных документов</w:t>
      </w:r>
    </w:p>
    <w:bookmarkEnd w:id="17"/>
    <w:bookmarkStart w:name="z145" w:id="18"/>
    <w:p>
      <w:pPr>
        <w:spacing w:after="0"/>
        <w:ind w:left="0"/>
        <w:jc w:val="both"/>
      </w:pPr>
      <w:r>
        <w:rPr>
          <w:rFonts w:ascii="Times New Roman"/>
          <w:b w:val="false"/>
          <w:i w:val="false"/>
          <w:color w:val="000000"/>
          <w:sz w:val="28"/>
        </w:rPr>
        <w:t>
      1. Электронные документы, используемые при трансграничном взаимодействии органов государственной власти государств – членов Евразийского экономического союза (далее соответственно – государства-члены, Союз) между собой и с Евразийской экономической комиссией в интегрированной информационной системе внешней и взаимной торговли и создаваемой на основе расширения ее функциональных возможностей интегрированной информационной системе Союза (далее соответственно – электронные документы, интегрированная система), имеют унифицированную структуру.</w:t>
      </w:r>
      <w:r>
        <w:br/>
      </w:r>
      <w:r>
        <w:rPr>
          <w:rFonts w:ascii="Times New Roman"/>
          <w:b w:val="false"/>
          <w:i w:val="false"/>
          <w:color w:val="000000"/>
          <w:sz w:val="28"/>
        </w:rPr>
        <w:t>
</w:t>
      </w:r>
      <w:r>
        <w:rPr>
          <w:rFonts w:ascii="Times New Roman"/>
          <w:b w:val="false"/>
          <w:i w:val="false"/>
          <w:color w:val="000000"/>
          <w:sz w:val="28"/>
        </w:rPr>
        <w:t>
      2. Унифицированная структура электронного документа содержит следующие основные элементы (блоки):</w:t>
      </w:r>
      <w:r>
        <w:br/>
      </w:r>
      <w:r>
        <w:rPr>
          <w:rFonts w:ascii="Times New Roman"/>
          <w:b w:val="false"/>
          <w:i w:val="false"/>
          <w:color w:val="000000"/>
          <w:sz w:val="28"/>
        </w:rPr>
        <w:t>
      а) контейнер электронного документа;</w:t>
      </w:r>
      <w:r>
        <w:br/>
      </w:r>
      <w:r>
        <w:rPr>
          <w:rFonts w:ascii="Times New Roman"/>
          <w:b w:val="false"/>
          <w:i w:val="false"/>
          <w:color w:val="000000"/>
          <w:sz w:val="28"/>
        </w:rPr>
        <w:t>
      б) одна или несколько электронных цифровых подписей (электронных подписей) (далее – ЭЦП);</w:t>
      </w:r>
      <w:r>
        <w:br/>
      </w:r>
      <w:r>
        <w:rPr>
          <w:rFonts w:ascii="Times New Roman"/>
          <w:b w:val="false"/>
          <w:i w:val="false"/>
          <w:color w:val="000000"/>
          <w:sz w:val="28"/>
        </w:rPr>
        <w:t>
      в) структуры видов электронных документов (сведений);</w:t>
      </w:r>
      <w:r>
        <w:br/>
      </w:r>
      <w:r>
        <w:rPr>
          <w:rFonts w:ascii="Times New Roman"/>
          <w:b w:val="false"/>
          <w:i w:val="false"/>
          <w:color w:val="000000"/>
          <w:sz w:val="28"/>
        </w:rPr>
        <w:t>
      г) квитанция доверенной третьей стороны, вкладываемая в контейнер электронного документа при передаче электронного документа через интегрированную систему.</w:t>
      </w:r>
      <w:r>
        <w:br/>
      </w:r>
      <w:r>
        <w:rPr>
          <w:rFonts w:ascii="Times New Roman"/>
          <w:b w:val="false"/>
          <w:i w:val="false"/>
          <w:color w:val="000000"/>
          <w:sz w:val="28"/>
        </w:rPr>
        <w:t>
</w:t>
      </w:r>
      <w:r>
        <w:rPr>
          <w:rFonts w:ascii="Times New Roman"/>
          <w:b w:val="false"/>
          <w:i w:val="false"/>
          <w:color w:val="000000"/>
          <w:sz w:val="28"/>
        </w:rPr>
        <w:t>
      3. Структуры видов электронных документов (сведений) определяются утверждаемыми Евразийской экономической комиссией для каждого общего процесса в рамках Союза технологическими документами, регламентирующими информационное взаимодействие при реализации средствами интегрированной системы общих процессов в рамках Союза, разработанными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(далее – технологические документы, регламентирующие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4. При описании унифицированной структуры электронного документа используются пространства имен, перечень которых приведен в таблице 1.</w:t>
      </w:r>
    </w:p>
    <w:bookmarkEnd w:id="18"/>
    <w:bookmarkStart w:name="z149" w:id="19"/>
    <w:p>
      <w:pPr>
        <w:spacing w:after="0"/>
        <w:ind w:left="0"/>
        <w:jc w:val="both"/>
      </w:pPr>
      <w:r>
        <w:rPr>
          <w:rFonts w:ascii="Times New Roman"/>
          <w:b w:val="false"/>
          <w:i w:val="false"/>
          <w:color w:val="000000"/>
          <w:sz w:val="28"/>
        </w:rPr>
        <w:t>
Таблица 1</w:t>
      </w:r>
    </w:p>
    <w:bookmarkEnd w:id="19"/>
    <w:p>
      <w:pPr>
        <w:spacing w:after="0"/>
        <w:ind w:left="0"/>
        <w:jc w:val="both"/>
      </w:pPr>
      <w:r>
        <w:rPr>
          <w:rFonts w:ascii="Times New Roman"/>
          <w:b/>
          <w:i w:val="false"/>
          <w:color w:val="000000"/>
          <w:sz w:val="28"/>
        </w:rPr>
        <w:t>              Перечень пространств имен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10793"/>
      </w:tblGrid>
      <w:tr>
        <w:trPr>
          <w:trHeight w:val="48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r>
    </w:tbl>
    <w:tbl>
      <w:tblPr>
        <w:tblW w:w="0" w:type="auto"/>
        <w:tblCellSpacing w:w="0" w:type="auto"/>
        <w:tblBorders>
          <w:top w:val="none"/>
          <w:left w:val="none"/>
          <w:bottom w:val="none"/>
          <w:right w:val="none"/>
          <w:insideH w:val="none"/>
          <w:insideV w:val="none"/>
        </w:tblBorders>
      </w:tblPr>
      <w:tblGrid>
        <w:gridCol w:w="3199"/>
        <w:gridCol w:w="10801"/>
      </w:tblGrid>
      <w:tr>
        <w:trPr>
          <w:trHeight w:val="540" w:hRule="atLeast"/>
        </w:trPr>
        <w:tc>
          <w:tcPr>
            <w:tcW w:w="3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w:t>
            </w:r>
          </w:p>
        </w:tc>
        <w:tc>
          <w:tcPr>
            <w:tcW w:w="10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urn:EEC:SignedData:v1.0:EDoc</w:t>
            </w:r>
          </w:p>
        </w:tc>
      </w:tr>
      <w:tr>
        <w:trPr>
          <w:trHeight w:val="540" w:hRule="atLeast"/>
        </w:trPr>
        <w:tc>
          <w:tcPr>
            <w:tcW w:w="3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w:t>
            </w:r>
          </w:p>
        </w:tc>
        <w:tc>
          <w:tcPr>
            <w:tcW w:w="10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http://www.w3.org/2000/09/xmldsig#</w:t>
            </w:r>
          </w:p>
        </w:tc>
      </w:tr>
      <w:tr>
        <w:trPr>
          <w:trHeight w:val="420" w:hRule="atLeast"/>
        </w:trPr>
        <w:tc>
          <w:tcPr>
            <w:tcW w:w="3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w:t>
            </w:r>
          </w:p>
        </w:tc>
        <w:tc>
          <w:tcPr>
            <w:tcW w:w="10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http://www.w3.org/2001/XMLSchema</w:t>
            </w:r>
          </w:p>
        </w:tc>
      </w:tr>
    </w:tbl>
    <w:p>
      <w:pPr>
        <w:spacing w:after="0"/>
        <w:ind w:left="0"/>
        <w:jc w:val="both"/>
      </w:pPr>
      <w:r>
        <w:rPr>
          <w:rFonts w:ascii="Times New Roman"/>
          <w:b w:val="false"/>
          <w:i w:val="false"/>
          <w:color w:val="000000"/>
          <w:sz w:val="28"/>
        </w:rPr>
        <w:t>      5. Унифицированная структура электронного документа приведена в таблице 2. </w:t>
      </w:r>
    </w:p>
    <w:bookmarkStart w:name="z150" w:id="20"/>
    <w:p>
      <w:pPr>
        <w:spacing w:after="0"/>
        <w:ind w:left="0"/>
        <w:jc w:val="both"/>
      </w:pPr>
      <w:r>
        <w:rPr>
          <w:rFonts w:ascii="Times New Roman"/>
          <w:b w:val="false"/>
          <w:i w:val="false"/>
          <w:color w:val="000000"/>
          <w:sz w:val="28"/>
        </w:rPr>
        <w:t>
Таблица 2</w:t>
      </w:r>
    </w:p>
    <w:bookmarkEnd w:id="20"/>
    <w:p>
      <w:pPr>
        <w:spacing w:after="0"/>
        <w:ind w:left="0"/>
        <w:jc w:val="both"/>
      </w:pPr>
      <w:r>
        <w:rPr>
          <w:rFonts w:ascii="Times New Roman"/>
          <w:b/>
          <w:i w:val="false"/>
          <w:color w:val="000000"/>
          <w:sz w:val="28"/>
        </w:rPr>
        <w:t>       Унифицированная структура электронного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4373"/>
        <w:gridCol w:w="3133"/>
        <w:gridCol w:w="4141"/>
        <w:gridCol w:w="2103"/>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doc:SignedDoc</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doc:SignedDoc</w:t>
            </w:r>
            <w:r>
              <w:rPr>
                <w:rFonts w:ascii="Times New Roman"/>
                <w:b w:val="false"/>
                <w:i w:val="false"/>
                <w:color w:val="000000"/>
                <w:sz w:val="20"/>
              </w:rPr>
              <w:t>Type</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электронного документа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doc:Dаta</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содержимого электронного документа</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doc:DataType</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квитанция доверенной третьей стороны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ds:SignatureType</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151" w:id="21"/>
    <w:p>
      <w:pPr>
        <w:spacing w:after="0"/>
        <w:ind w:left="0"/>
        <w:jc w:val="both"/>
      </w:pPr>
      <w:r>
        <w:rPr>
          <w:rFonts w:ascii="Times New Roman"/>
          <w:b w:val="false"/>
          <w:i w:val="false"/>
          <w:color w:val="000000"/>
          <w:sz w:val="28"/>
        </w:rPr>
        <w:t>
      6. Блок содержимого электронного документа doc: Dаta должен содержать одну или несколько ЭЦП, формируемых на уровне отправителя, а также данные, подписанные этой (этими) ЭЦП. Блок содержимого электронного документа doc:Dаta должен соответствовать структуре, приведенной в таблице 3.</w:t>
      </w:r>
    </w:p>
    <w:bookmarkEnd w:id="21"/>
    <w:bookmarkStart w:name="z152" w:id="22"/>
    <w:p>
      <w:pPr>
        <w:spacing w:after="0"/>
        <w:ind w:left="0"/>
        <w:jc w:val="both"/>
      </w:pPr>
      <w:r>
        <w:rPr>
          <w:rFonts w:ascii="Times New Roman"/>
          <w:b w:val="false"/>
          <w:i w:val="false"/>
          <w:color w:val="000000"/>
          <w:sz w:val="28"/>
        </w:rPr>
        <w:t>
Таблица 3</w:t>
      </w:r>
    </w:p>
    <w:bookmarkEnd w:id="22"/>
    <w:p>
      <w:pPr>
        <w:spacing w:after="0"/>
        <w:ind w:left="0"/>
        <w:jc w:val="both"/>
      </w:pPr>
      <w:r>
        <w:rPr>
          <w:rFonts w:ascii="Times New Roman"/>
          <w:b/>
          <w:i w:val="false"/>
          <w:color w:val="000000"/>
          <w:sz w:val="28"/>
        </w:rPr>
        <w:t>     Структура блока содержимого электронного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276"/>
        <w:gridCol w:w="4013"/>
        <w:gridCol w:w="2988"/>
        <w:gridCol w:w="4332"/>
        <w:gridCol w:w="2116"/>
      </w:tblGrid>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doc:Data</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doc:DataType</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содержимого электронного документа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xs:ID</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атрибут-идентификатор блока содержимого электронного документа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ds:SignatureType</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ЭЦП электронного документа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doc:SignedContent</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подписываемых данных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xs:ID</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атрибут-идентификатор блока подписываемых данных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@DocInstance</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электронного документа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видов электронных документов (сведений)</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типами структур электронных документов (сведений)</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или несколько структур видов электронных документов (сведений)</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53" w:id="23"/>
    <w:p>
      <w:pPr>
        <w:spacing w:after="0"/>
        <w:ind w:left="0"/>
        <w:jc w:val="both"/>
      </w:pPr>
      <w:r>
        <w:rPr>
          <w:rFonts w:ascii="Times New Roman"/>
          <w:b w:val="false"/>
          <w:i w:val="false"/>
          <w:color w:val="000000"/>
          <w:sz w:val="28"/>
        </w:rPr>
        <w:t>
      7. Атрибут doc:Data/@Id должен содержать идентификатор блока содержимого электронного документа. Значение атрибута определяется отправителем в соответствии с требованиями стандарта xml:id Version 1.0 W3C Recommendation 9 September 2005, http://www.w3.org/TR/xml-id/ (далее – стандарт xml-id).</w:t>
      </w:r>
      <w:r>
        <w:br/>
      </w:r>
      <w:r>
        <w:rPr>
          <w:rFonts w:ascii="Times New Roman"/>
          <w:b w:val="false"/>
          <w:i w:val="false"/>
          <w:color w:val="000000"/>
          <w:sz w:val="28"/>
        </w:rPr>
        <w:t>
</w:t>
      </w:r>
      <w:r>
        <w:rPr>
          <w:rFonts w:ascii="Times New Roman"/>
          <w:b w:val="false"/>
          <w:i w:val="false"/>
          <w:color w:val="000000"/>
          <w:sz w:val="28"/>
        </w:rPr>
        <w:t>
      8. Элемент doc:SignedDoc/doc:Data/ds:Signature должен содержать ЭЦП электронного документа, к алгоритму формирования которой предъявляются следующие требования:</w:t>
      </w:r>
      <w:r>
        <w:br/>
      </w:r>
      <w:r>
        <w:rPr>
          <w:rFonts w:ascii="Times New Roman"/>
          <w:b w:val="false"/>
          <w:i w:val="false"/>
          <w:color w:val="000000"/>
          <w:sz w:val="28"/>
        </w:rPr>
        <w:t>
      а) формат ЭЦП, ее атрибуты и элементы должны соответствовать требованиям стандарта XMLDsig либо стандарта XAdES;</w:t>
      </w:r>
      <w:r>
        <w:br/>
      </w:r>
      <w:r>
        <w:rPr>
          <w:rFonts w:ascii="Times New Roman"/>
          <w:b w:val="false"/>
          <w:i w:val="false"/>
          <w:color w:val="000000"/>
          <w:sz w:val="28"/>
        </w:rPr>
        <w:t>
      б) атрибут ds:Signature/@Id должен содержать идентификатор ЭЦП. Значение атрибута определяется отправителем в соответствии с требованиями стандарта xml-id;</w:t>
      </w:r>
      <w:r>
        <w:br/>
      </w:r>
      <w:r>
        <w:rPr>
          <w:rFonts w:ascii="Times New Roman"/>
          <w:b w:val="false"/>
          <w:i w:val="false"/>
          <w:color w:val="000000"/>
          <w:sz w:val="28"/>
        </w:rPr>
        <w:t>
      в) блок doc:SignedContent должен подписываться ЭЦП, если иное не указано в технологических документах, регламентирующих информационное взаимодействие. Для ссылки на блок doc:SignedContent из структуры ЭЦП следует использовать значение атрибута doc:SignedContent/@Id;</w:t>
      </w:r>
      <w:r>
        <w:br/>
      </w:r>
      <w:r>
        <w:rPr>
          <w:rFonts w:ascii="Times New Roman"/>
          <w:b w:val="false"/>
          <w:i w:val="false"/>
          <w:color w:val="000000"/>
          <w:sz w:val="28"/>
        </w:rPr>
        <w:t>
      г) в состав элемента ds:Signature должны включаться ЭЦП и сертификат ключа проверки ЭЦП в соответствии с требованиями стандарта XMLDsig.</w:t>
      </w:r>
      <w:r>
        <w:br/>
      </w:r>
      <w:r>
        <w:rPr>
          <w:rFonts w:ascii="Times New Roman"/>
          <w:b w:val="false"/>
          <w:i w:val="false"/>
          <w:color w:val="000000"/>
          <w:sz w:val="28"/>
        </w:rPr>
        <w:t>
</w:t>
      </w:r>
      <w:r>
        <w:rPr>
          <w:rFonts w:ascii="Times New Roman"/>
          <w:b w:val="false"/>
          <w:i w:val="false"/>
          <w:color w:val="000000"/>
          <w:sz w:val="28"/>
        </w:rPr>
        <w:t>
      9. Атрибут doc:SignedContent/@Id должен содержать идентификатор блока подписываемых данных. Значение атрибута определяется отправителем в соответствии с требованиями стандарта xml-id.</w:t>
      </w:r>
      <w:r>
        <w:br/>
      </w:r>
      <w:r>
        <w:rPr>
          <w:rFonts w:ascii="Times New Roman"/>
          <w:b w:val="false"/>
          <w:i w:val="false"/>
          <w:color w:val="000000"/>
          <w:sz w:val="28"/>
        </w:rPr>
        <w:t>
</w:t>
      </w:r>
      <w:r>
        <w:rPr>
          <w:rFonts w:ascii="Times New Roman"/>
          <w:b w:val="false"/>
          <w:i w:val="false"/>
          <w:color w:val="000000"/>
          <w:sz w:val="28"/>
        </w:rPr>
        <w:t>
      10. Атрибут doc:SignedContent/@DocInstance должен содержать уникальный технологический идентификатор электронного документа, сформированный в соответствии с правилами стандарта RFC 4122, A Universally Unique IDentifier (UUID) URN Namespace (Network Working Group. RFC 4122. «A Universally Unique IDentifier (UUID) URN Namespace». http://www.ietf.org/rfc/rfc4122.txt).</w:t>
      </w:r>
      <w:r>
        <w:br/>
      </w:r>
      <w:r>
        <w:rPr>
          <w:rFonts w:ascii="Times New Roman"/>
          <w:b w:val="false"/>
          <w:i w:val="false"/>
          <w:color w:val="000000"/>
          <w:sz w:val="28"/>
        </w:rPr>
        <w:t>
</w:t>
      </w:r>
      <w:r>
        <w:rPr>
          <w:rFonts w:ascii="Times New Roman"/>
          <w:b w:val="false"/>
          <w:i w:val="false"/>
          <w:color w:val="000000"/>
          <w:sz w:val="28"/>
        </w:rPr>
        <w:t>
      11. Блок doc:SignedContent должен содержать структуры видов электронных документов (сведений), которые определяются технологическими документами, регламентирующими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12. Элемент doc:SignedDoc/ds:Signature представляет собой квитанцию доверенной третьей стороны. Элемент формируется доверенной третьей стороной. Элемент не должен формироваться отправителем электронного документа.</w:t>
      </w:r>
      <w:r>
        <w:br/>
      </w:r>
      <w:r>
        <w:rPr>
          <w:rFonts w:ascii="Times New Roman"/>
          <w:b w:val="false"/>
          <w:i w:val="false"/>
          <w:color w:val="000000"/>
          <w:sz w:val="28"/>
        </w:rPr>
        <w:t>
</w:t>
      </w:r>
      <w:r>
        <w:rPr>
          <w:rFonts w:ascii="Times New Roman"/>
          <w:b w:val="false"/>
          <w:i w:val="false"/>
          <w:color w:val="000000"/>
          <w:sz w:val="28"/>
        </w:rPr>
        <w:t>
      13. Проверка целостности данных, подписанных ЭЦП электронного документа, выполняется доверенной третьей стороной отправителя в соответствии с процедурой, описанной в разделе 3.2 стандарта XMLDsig. Блоки данных, для которых выполняется процедура проверки целостности, определяются в соответствии с требованиями подпункта «в» пункта 8 настоящего документа.</w:t>
      </w:r>
      <w:r>
        <w:br/>
      </w:r>
      <w:r>
        <w:rPr>
          <w:rFonts w:ascii="Times New Roman"/>
          <w:b w:val="false"/>
          <w:i w:val="false"/>
          <w:color w:val="000000"/>
          <w:sz w:val="28"/>
        </w:rPr>
        <w:t>
</w:t>
      </w:r>
      <w:r>
        <w:rPr>
          <w:rFonts w:ascii="Times New Roman"/>
          <w:b w:val="false"/>
          <w:i w:val="false"/>
          <w:color w:val="000000"/>
          <w:sz w:val="28"/>
        </w:rPr>
        <w:t>
      14. Обработка электронных документов выполняется в соответствии с Правилами электронного обмена данными в интегрированной информационной системе внешней и взаимной торговли,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27 января 2015 г. № 5, а также в соответствии с требованиями технологических документов, регламентирующих информационное взаимодействие, с учетом следующих положений:</w:t>
      </w:r>
      <w:r>
        <w:br/>
      </w:r>
      <w:r>
        <w:rPr>
          <w:rFonts w:ascii="Times New Roman"/>
          <w:b w:val="false"/>
          <w:i w:val="false"/>
          <w:color w:val="000000"/>
          <w:sz w:val="28"/>
        </w:rPr>
        <w:t>
      а) стадия структурного контроля блока содержимого включает в себя проверку унифицированной структуры электронного документа по XSD-схеме, а также проверку структур видов электронных документов (сведений);</w:t>
      </w:r>
      <w:r>
        <w:br/>
      </w:r>
      <w:r>
        <w:rPr>
          <w:rFonts w:ascii="Times New Roman"/>
          <w:b w:val="false"/>
          <w:i w:val="false"/>
          <w:color w:val="000000"/>
          <w:sz w:val="28"/>
        </w:rPr>
        <w:t>
      б) операция проверки квитанции доверенной третьей стороны получателя должна выполняться после выполнения стадии структурного контроля блока содержимого;</w:t>
      </w:r>
      <w:r>
        <w:br/>
      </w:r>
      <w:r>
        <w:rPr>
          <w:rFonts w:ascii="Times New Roman"/>
          <w:b w:val="false"/>
          <w:i w:val="false"/>
          <w:color w:val="000000"/>
          <w:sz w:val="28"/>
        </w:rPr>
        <w:t>
      в) если в соответствии с порядком информационного взаимодействия, в рамках которого передается электронный документ, предусмотрена передача получателю сигнала-подтверждения «Получено», то операция проверки квитанции доверенной третьей стороны выполняется после отправки такого сигнала-подтверждения.</w:t>
      </w:r>
    </w:p>
    <w:bookmarkEnd w:id="23"/>
    <w:bookmarkStart w:name="z161" w:id="24"/>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Положению об обмене электронными</w:t>
      </w:r>
      <w:r>
        <w:br/>
      </w:r>
      <w:r>
        <w:rPr>
          <w:rFonts w:ascii="Times New Roman"/>
          <w:b w:val="false"/>
          <w:i w:val="false"/>
          <w:color w:val="000000"/>
          <w:sz w:val="28"/>
        </w:rPr>
        <w:t xml:space="preserve">
документами при трансграничном  </w:t>
      </w:r>
      <w:r>
        <w:br/>
      </w:r>
      <w:r>
        <w:rPr>
          <w:rFonts w:ascii="Times New Roman"/>
          <w:b w:val="false"/>
          <w:i w:val="false"/>
          <w:color w:val="000000"/>
          <w:sz w:val="28"/>
        </w:rPr>
        <w:t>
взаимодействии органов государственной</w:t>
      </w:r>
      <w:r>
        <w:br/>
      </w:r>
      <w:r>
        <w:rPr>
          <w:rFonts w:ascii="Times New Roman"/>
          <w:b w:val="false"/>
          <w:i w:val="false"/>
          <w:color w:val="000000"/>
          <w:sz w:val="28"/>
        </w:rPr>
        <w:t>
власти государств – членов Евразийского</w:t>
      </w:r>
      <w:r>
        <w:br/>
      </w:r>
      <w:r>
        <w:rPr>
          <w:rFonts w:ascii="Times New Roman"/>
          <w:b w:val="false"/>
          <w:i w:val="false"/>
          <w:color w:val="000000"/>
          <w:sz w:val="28"/>
        </w:rPr>
        <w:t xml:space="preserve">
экономического союза между собой и </w:t>
      </w:r>
      <w:r>
        <w:br/>
      </w:r>
      <w:r>
        <w:rPr>
          <w:rFonts w:ascii="Times New Roman"/>
          <w:b w:val="false"/>
          <w:i w:val="false"/>
          <w:color w:val="000000"/>
          <w:sz w:val="28"/>
        </w:rPr>
        <w:t>
с Евразийской экономической комиссией</w:t>
      </w:r>
    </w:p>
    <w:bookmarkEnd w:id="24"/>
    <w:bookmarkStart w:name="z162" w:id="25"/>
    <w:p>
      <w:pPr>
        <w:spacing w:after="0"/>
        <w:ind w:left="0"/>
        <w:jc w:val="both"/>
      </w:pPr>
      <w:r>
        <w:rPr>
          <w:rFonts w:ascii="Times New Roman"/>
          <w:b w:val="false"/>
          <w:i w:val="false"/>
          <w:color w:val="000000"/>
          <w:sz w:val="28"/>
        </w:rPr>
        <w:t>
</w:t>
      </w:r>
      <w:r>
        <w:rPr>
          <w:rFonts w:ascii="Times New Roman"/>
          <w:b/>
          <w:i w:val="false"/>
          <w:color w:val="000000"/>
          <w:sz w:val="28"/>
        </w:rPr>
        <w:t>                          СХЕМА ДАННЫХ</w:t>
      </w:r>
      <w:r>
        <w:br/>
      </w:r>
      <w:r>
        <w:rPr>
          <w:rFonts w:ascii="Times New Roman"/>
          <w:b w:val="false"/>
          <w:i w:val="false"/>
          <w:color w:val="000000"/>
          <w:sz w:val="28"/>
        </w:rPr>
        <w:t>
                     </w:t>
      </w:r>
      <w:r>
        <w:rPr>
          <w:rFonts w:ascii="Times New Roman"/>
          <w:b/>
          <w:i w:val="false"/>
          <w:color w:val="000000"/>
          <w:sz w:val="28"/>
        </w:rPr>
        <w:t>электронного документа</w:t>
      </w:r>
    </w:p>
    <w:bookmarkEnd w:id="25"/>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&lt;?xml version="1.0" encoding="UTF-8"?&gt;</w:t>
            </w:r>
            <w:r>
              <w:br/>
            </w:r>
            <w:r>
              <w:rPr>
                <w:rFonts w:ascii="Times New Roman"/>
                <w:b w:val="false"/>
                <w:i w:val="false"/>
                <w:color w:val="000000"/>
                <w:sz w:val="20"/>
              </w:rPr>
              <w:t>
</w:t>
            </w:r>
            <w:r>
              <w:rPr>
                <w:rFonts w:ascii="Times New Roman"/>
                <w:b w:val="false"/>
                <w:i w:val="false"/>
                <w:color w:val="000000"/>
                <w:sz w:val="20"/>
              </w:rPr>
              <w:t>&lt;xs:schema xmlns:xs="http://www.w3.org/2001/XMLSchema" xmlns:doc="urn:EEC:SignedData:v1.0:EDoc" xmlns:ds="http://www.w3.org/2000/09/xmldsig#" targetNamespace="urn:EEC:SignedData:v1.0:EDoc" elementFormDefault="qualified" attributeFormDefault="unqualified"&gt;</w:t>
            </w:r>
            <w:r>
              <w:br/>
            </w:r>
            <w:r>
              <w:rPr>
                <w:rFonts w:ascii="Times New Roman"/>
                <w:b w:val="false"/>
                <w:i w:val="false"/>
                <w:color w:val="000000"/>
                <w:sz w:val="20"/>
              </w:rPr>
              <w:t>
</w:t>
            </w:r>
            <w:r>
              <w:rPr>
                <w:rFonts w:ascii="Times New Roman"/>
                <w:b w:val="false"/>
                <w:i w:val="false"/>
                <w:color w:val="000000"/>
                <w:sz w:val="20"/>
              </w:rPr>
              <w:t>   &lt;xs:import namespace="http://www.w3.org/2000/09/xmldsig#" schemaLocation="http://www.w3.org/TR/2002/REC-xmldsig-core-20020212/xmldsig-core-schema.xsd#"/&gt;</w:t>
            </w:r>
            <w:r>
              <w:br/>
            </w:r>
            <w:r>
              <w:rPr>
                <w:rFonts w:ascii="Times New Roman"/>
                <w:b w:val="false"/>
                <w:i w:val="false"/>
                <w:color w:val="000000"/>
                <w:sz w:val="20"/>
              </w:rPr>
              <w:t>
</w:t>
            </w:r>
            <w:r>
              <w:rPr>
                <w:rFonts w:ascii="Times New Roman"/>
                <w:b w:val="false"/>
                <w:i w:val="false"/>
                <w:color w:val="000000"/>
                <w:sz w:val="20"/>
              </w:rPr>
              <w:t>   &lt;xs:element name="SignedDoc" type="doc:SignedDocType"&gt;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&lt;xs:documentation&gt;Электронный документ&lt;/xs:documentation&gt;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&lt;xs:complexType name="SignedDocType"&gt;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&lt;xs:documentation&gt;Тип данных "Электронный документ"&lt;/xs:documentation&gt;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&lt;xs:element name="Data"&gt;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&lt;xs:documentation&gt;Блок содержимого электронного документа&lt;/xs:documentation&gt;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&lt;xs:complexContent&gt;</w:t>
            </w:r>
            <w:r>
              <w:br/>
            </w:r>
            <w:r>
              <w:rPr>
                <w:rFonts w:ascii="Times New Roman"/>
                <w:b w:val="false"/>
                <w:i w:val="false"/>
                <w:color w:val="000000"/>
                <w:sz w:val="20"/>
              </w:rPr>
              <w:t>
</w:t>
            </w:r>
            <w:r>
              <w:rPr>
                <w:rFonts w:ascii="Times New Roman"/>
                <w:b w:val="false"/>
                <w:i w:val="false"/>
                <w:color w:val="000000"/>
                <w:sz w:val="20"/>
              </w:rPr>
              <w:t>                  &lt;xs:extension base="doc:DataType"&gt;</w:t>
            </w:r>
            <w:r>
              <w:br/>
            </w:r>
            <w:r>
              <w:rPr>
                <w:rFonts w:ascii="Times New Roman"/>
                <w:b w:val="false"/>
                <w:i w:val="false"/>
                <w:color w:val="000000"/>
                <w:sz w:val="20"/>
              </w:rPr>
              <w:t>
</w:t>
            </w:r>
            <w:r>
              <w:rPr>
                <w:rFonts w:ascii="Times New Roman"/>
                <w:b w:val="false"/>
                <w:i w:val="false"/>
                <w:color w:val="000000"/>
                <w:sz w:val="20"/>
              </w:rPr>
              <w:t>                     &lt;xs:attribute name="Id" type="xs:ID" use="required"/&gt;</w:t>
            </w:r>
            <w:r>
              <w:br/>
            </w:r>
            <w:r>
              <w:rPr>
                <w:rFonts w:ascii="Times New Roman"/>
                <w:b w:val="false"/>
                <w:i w:val="false"/>
                <w:color w:val="000000"/>
                <w:sz w:val="20"/>
              </w:rPr>
              <w:t>
</w:t>
            </w:r>
            <w:r>
              <w:rPr>
                <w:rFonts w:ascii="Times New Roman"/>
                <w:b w:val="false"/>
                <w:i w:val="false"/>
                <w:color w:val="000000"/>
                <w:sz w:val="20"/>
              </w:rPr>
              <w:t>                  &lt;/xs:extension&gt;</w:t>
            </w:r>
            <w:r>
              <w:br/>
            </w:r>
            <w:r>
              <w:rPr>
                <w:rFonts w:ascii="Times New Roman"/>
                <w:b w:val="false"/>
                <w:i w:val="false"/>
                <w:color w:val="000000"/>
                <w:sz w:val="20"/>
              </w:rPr>
              <w:t>
</w:t>
            </w:r>
            <w:r>
              <w:rPr>
                <w:rFonts w:ascii="Times New Roman"/>
                <w:b w:val="false"/>
                <w:i w:val="false"/>
                <w:color w:val="000000"/>
                <w:sz w:val="20"/>
              </w:rPr>
              <w:t>               &lt;/xs:complexContent&gt;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&lt;xs:element ref="ds:Signature" minOccurs="0"&gt;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&lt;xs:documentation&gt;Квитанция доверенной третьей стороны&lt;/xs:documentation&gt;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&lt;xs:complexType name="DataType"&gt;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&lt;xs:documentation&gt;Тип блока содержимого электронного документа&lt;/xs:documentation&gt;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&lt;xs:element ref="ds:Signature" maxOccurs="unbounded"&gt;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&lt;xs:documentation&gt;Электронная цифровая подпись (электронная подпись)&lt;/xs:documentation&gt;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&lt;xs:element name="SignedContent"&gt;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&lt;xs:documentation&gt;Блок подписываемых данных&lt;/xs:documentation&gt;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&lt;xs:any namespace="##any" processContents="lax" maxOccurs="unbounded"&gt;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&lt;xs:documentation&gt;Структура видов электронных документов (сведений)&lt;/xs:documentation&gt;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&lt;/xs:any&gt;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&lt;xs:attribute name="Id" type="xs:ID" use="required"&gt;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&lt;xs:documentation&gt;Атрибут-идентификатор блока подписываемых данных&lt;/xs:documentation&gt;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&lt;/xs:attribute&gt;</w:t>
            </w:r>
            <w:r>
              <w:br/>
            </w:r>
            <w:r>
              <w:rPr>
                <w:rFonts w:ascii="Times New Roman"/>
                <w:b w:val="false"/>
                <w:i w:val="false"/>
                <w:color w:val="000000"/>
                <w:sz w:val="20"/>
              </w:rPr>
              <w:t>
</w:t>
            </w:r>
            <w:r>
              <w:rPr>
                <w:rFonts w:ascii="Times New Roman"/>
                <w:b w:val="false"/>
                <w:i w:val="false"/>
                <w:color w:val="000000"/>
                <w:sz w:val="20"/>
              </w:rPr>
              <w:t>               &lt;xs:attribute name="DocInstance" type="xs:anyURI" use="required"&gt;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&lt;xs:documentation&gt;Уникальный идентификатор электронного документа&lt;/xs:documentation&gt;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&lt;/xs:attribute&gt;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&lt;/xs:schema&gt;</w:t>
            </w:r>
          </w:p>
        </w:tc>
      </w:tr>
    </w:tbl>
    <w:bookmarkStart w:name="z163" w:id="26"/>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к Положению об обмене электронными</w:t>
      </w:r>
      <w:r>
        <w:br/>
      </w:r>
      <w:r>
        <w:rPr>
          <w:rFonts w:ascii="Times New Roman"/>
          <w:b w:val="false"/>
          <w:i w:val="false"/>
          <w:color w:val="000000"/>
          <w:sz w:val="28"/>
        </w:rPr>
        <w:t xml:space="preserve">
документами при трансграничном  </w:t>
      </w:r>
      <w:r>
        <w:br/>
      </w:r>
      <w:r>
        <w:rPr>
          <w:rFonts w:ascii="Times New Roman"/>
          <w:b w:val="false"/>
          <w:i w:val="false"/>
          <w:color w:val="000000"/>
          <w:sz w:val="28"/>
        </w:rPr>
        <w:t>
взаимодействии органов государственной</w:t>
      </w:r>
      <w:r>
        <w:br/>
      </w:r>
      <w:r>
        <w:rPr>
          <w:rFonts w:ascii="Times New Roman"/>
          <w:b w:val="false"/>
          <w:i w:val="false"/>
          <w:color w:val="000000"/>
          <w:sz w:val="28"/>
        </w:rPr>
        <w:t>
власти государств – членов Евразийского</w:t>
      </w:r>
      <w:r>
        <w:br/>
      </w:r>
      <w:r>
        <w:rPr>
          <w:rFonts w:ascii="Times New Roman"/>
          <w:b w:val="false"/>
          <w:i w:val="false"/>
          <w:color w:val="000000"/>
          <w:sz w:val="28"/>
        </w:rPr>
        <w:t xml:space="preserve">
экономического союза между собой и </w:t>
      </w:r>
      <w:r>
        <w:br/>
      </w:r>
      <w:r>
        <w:rPr>
          <w:rFonts w:ascii="Times New Roman"/>
          <w:b w:val="false"/>
          <w:i w:val="false"/>
          <w:color w:val="000000"/>
          <w:sz w:val="28"/>
        </w:rPr>
        <w:t>
с Евразийской экономической комиссией</w:t>
      </w:r>
    </w:p>
    <w:bookmarkEnd w:id="26"/>
    <w:bookmarkStart w:name="z164" w:id="27"/>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
к формированию и порядку обработки квитанций </w:t>
      </w:r>
      <w:r>
        <w:br/>
      </w:r>
      <w:r>
        <w:rPr>
          <w:rFonts w:ascii="Times New Roman"/>
          <w:b/>
          <w:i w:val="false"/>
          <w:color w:val="000000"/>
        </w:rPr>
        <w:t>
доверенной третьей стороны</w:t>
      </w:r>
    </w:p>
    <w:bookmarkEnd w:id="27"/>
    <w:bookmarkStart w:name="z165" w:id="28"/>
    <w:p>
      <w:pPr>
        <w:spacing w:after="0"/>
        <w:ind w:left="0"/>
        <w:jc w:val="both"/>
      </w:pPr>
      <w:r>
        <w:rPr>
          <w:rFonts w:ascii="Times New Roman"/>
          <w:b w:val="false"/>
          <w:i w:val="false"/>
          <w:color w:val="000000"/>
          <w:sz w:val="28"/>
        </w:rPr>
        <w:t>
      1. Квитанция доверенной третьей стороны (далее – квитанция) представляет собой электронный XML-документ в формате XAdES (форма XAdES-T), содержащий блок дополнительных реквизитов квитанции.</w:t>
      </w:r>
      <w:r>
        <w:br/>
      </w:r>
      <w:r>
        <w:rPr>
          <w:rFonts w:ascii="Times New Roman"/>
          <w:b w:val="false"/>
          <w:i w:val="false"/>
          <w:color w:val="000000"/>
          <w:sz w:val="28"/>
        </w:rPr>
        <w:t>
</w:t>
      </w:r>
      <w:r>
        <w:rPr>
          <w:rFonts w:ascii="Times New Roman"/>
          <w:b w:val="false"/>
          <w:i w:val="false"/>
          <w:color w:val="000000"/>
          <w:sz w:val="28"/>
        </w:rPr>
        <w:t>
      2. При описании требований к формированию и порядку обработки квитанции используются пространства имен, перечень которых приведен в таблице 1.</w:t>
      </w:r>
    </w:p>
    <w:bookmarkEnd w:id="28"/>
    <w:bookmarkStart w:name="z167" w:id="29"/>
    <w:p>
      <w:pPr>
        <w:spacing w:after="0"/>
        <w:ind w:left="0"/>
        <w:jc w:val="both"/>
      </w:pPr>
      <w:r>
        <w:rPr>
          <w:rFonts w:ascii="Times New Roman"/>
          <w:b w:val="false"/>
          <w:i w:val="false"/>
          <w:color w:val="000000"/>
          <w:sz w:val="28"/>
        </w:rPr>
        <w:t>
Таблица 1</w:t>
      </w:r>
    </w:p>
    <w:bookmarkEnd w:id="29"/>
    <w:p>
      <w:pPr>
        <w:spacing w:after="0"/>
        <w:ind w:left="0"/>
        <w:jc w:val="both"/>
      </w:pPr>
      <w:r>
        <w:rPr>
          <w:rFonts w:ascii="Times New Roman"/>
          <w:b/>
          <w:i w:val="false"/>
          <w:color w:val="000000"/>
          <w:sz w:val="28"/>
        </w:rPr>
        <w:t>              Перечень пространств имен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9511"/>
      </w:tblGrid>
      <w:tr>
        <w:trPr>
          <w:trHeight w:val="48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r>
    </w:tbl>
    <w:tbl>
      <w:tblPr>
        <w:tblW w:w="0" w:type="auto"/>
        <w:tblCellSpacing w:w="0" w:type="auto"/>
        <w:tblBorders>
          <w:top w:val="none"/>
          <w:left w:val="none"/>
          <w:bottom w:val="none"/>
          <w:right w:val="none"/>
          <w:insideH w:val="none"/>
          <w:insideV w:val="none"/>
        </w:tblBorders>
      </w:tblPr>
      <w:tblGrid>
        <w:gridCol w:w="4484"/>
        <w:gridCol w:w="9516"/>
      </w:tblGrid>
      <w:tr>
        <w:trPr>
          <w:trHeight w:val="540" w:hRule="atLeast"/>
        </w:trPr>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w:t>
            </w:r>
          </w:p>
        </w:tc>
        <w:tc>
          <w:tcPr>
            <w:tcW w:w="9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urn:EEC:TTP:v1.0:receipt</w:t>
            </w:r>
          </w:p>
        </w:tc>
      </w:tr>
      <w:tr>
        <w:trPr>
          <w:trHeight w:val="540" w:hRule="atLeast"/>
        </w:trPr>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w:t>
            </w:r>
          </w:p>
        </w:tc>
        <w:tc>
          <w:tcPr>
            <w:tcW w:w="9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urn:EEC:SignedData:v1.0:EDoc</w:t>
            </w:r>
          </w:p>
        </w:tc>
      </w:tr>
      <w:tr>
        <w:trPr>
          <w:trHeight w:val="540" w:hRule="atLeast"/>
        </w:trPr>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w:t>
            </w:r>
          </w:p>
        </w:tc>
        <w:tc>
          <w:tcPr>
            <w:tcW w:w="9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http://www.w3.org/2000/09/xmldsig#</w:t>
            </w:r>
          </w:p>
        </w:tc>
      </w:tr>
      <w:tr>
        <w:trPr>
          <w:trHeight w:val="540" w:hRule="atLeast"/>
        </w:trPr>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w:t>
            </w:r>
          </w:p>
        </w:tc>
        <w:tc>
          <w:tcPr>
            <w:tcW w:w="9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http://uri.etsi.org/01903/v1.3.2#</w:t>
            </w:r>
          </w:p>
        </w:tc>
      </w:tr>
      <w:tr>
        <w:trPr>
          <w:trHeight w:val="420" w:hRule="atLeast"/>
        </w:trPr>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w:t>
            </w:r>
          </w:p>
        </w:tc>
        <w:tc>
          <w:tcPr>
            <w:tcW w:w="9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http://www.w3.org/2001/XMLSchema</w:t>
            </w:r>
          </w:p>
        </w:tc>
      </w:tr>
    </w:tbl>
    <w:bookmarkStart w:name="z168" w:id="30"/>
    <w:p>
      <w:pPr>
        <w:spacing w:after="0"/>
        <w:ind w:left="0"/>
        <w:jc w:val="both"/>
      </w:pPr>
      <w:r>
        <w:rPr>
          <w:rFonts w:ascii="Times New Roman"/>
          <w:b w:val="false"/>
          <w:i w:val="false"/>
          <w:color w:val="000000"/>
          <w:sz w:val="28"/>
        </w:rPr>
        <w:t>
      3. При заполнении квитанции используются идентификаторы алгоритмов, приведенные в таблице 2.</w:t>
      </w:r>
      <w:r>
        <w:br/>
      </w:r>
      <w:r>
        <w:rPr>
          <w:rFonts w:ascii="Times New Roman"/>
          <w:b w:val="false"/>
          <w:i w:val="false"/>
          <w:color w:val="000000"/>
          <w:sz w:val="28"/>
        </w:rPr>
        <w:t>
      Структуры квитанции, блоков основных и дополнительных реквизитов квитанции в формате XAdES приведены в таблицах 3 – 5.</w:t>
      </w:r>
    </w:p>
    <w:bookmarkEnd w:id="30"/>
    <w:bookmarkStart w:name="z169" w:id="31"/>
    <w:p>
      <w:pPr>
        <w:spacing w:after="0"/>
        <w:ind w:left="0"/>
        <w:jc w:val="both"/>
      </w:pPr>
      <w:r>
        <w:rPr>
          <w:rFonts w:ascii="Times New Roman"/>
          <w:b w:val="false"/>
          <w:i w:val="false"/>
          <w:color w:val="000000"/>
          <w:sz w:val="28"/>
        </w:rPr>
        <w:t>
Таблица 2</w:t>
      </w:r>
    </w:p>
    <w:bookmarkEnd w:id="31"/>
    <w:p>
      <w:pPr>
        <w:spacing w:after="0"/>
        <w:ind w:left="0"/>
        <w:jc w:val="both"/>
      </w:pPr>
      <w:r>
        <w:rPr>
          <w:rFonts w:ascii="Times New Roman"/>
          <w:b/>
          <w:i w:val="false"/>
          <w:color w:val="000000"/>
          <w:sz w:val="28"/>
        </w:rPr>
        <w:t>                    Идентификаторы алгоритмов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10216"/>
      </w:tblGrid>
      <w:tr>
        <w:trPr>
          <w:trHeight w:val="48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r>
      <w:tr>
        <w:trPr>
          <w:trHeight w:val="48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 каноникализации XML</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http://www.w3.org/2001/10/xml-exc-c14n#</w:t>
            </w:r>
          </w:p>
        </w:tc>
      </w:tr>
      <w:tr>
        <w:trPr>
          <w:trHeight w:val="48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 кодирования значений ЭЦП и хэш-суммы</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http://www.w3.org/2000/09/xmldsig#base64</w:t>
            </w:r>
          </w:p>
        </w:tc>
      </w:tr>
    </w:tbl>
    <w:bookmarkStart w:name="z170" w:id="32"/>
    <w:p>
      <w:pPr>
        <w:spacing w:after="0"/>
        <w:ind w:left="0"/>
        <w:jc w:val="both"/>
      </w:pPr>
      <w:r>
        <w:rPr>
          <w:rFonts w:ascii="Times New Roman"/>
          <w:b w:val="false"/>
          <w:i w:val="false"/>
          <w:color w:val="000000"/>
          <w:sz w:val="28"/>
        </w:rPr>
        <w:t>
Таблица 3</w:t>
      </w:r>
    </w:p>
    <w:bookmarkEnd w:id="32"/>
    <w:p>
      <w:pPr>
        <w:spacing w:after="0"/>
        <w:ind w:left="0"/>
        <w:jc w:val="both"/>
      </w:pPr>
      <w:r>
        <w:rPr>
          <w:rFonts w:ascii="Times New Roman"/>
          <w:b/>
          <w:i w:val="false"/>
          <w:color w:val="000000"/>
          <w:sz w:val="28"/>
        </w:rPr>
        <w:t>                        Структура квитанции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
        <w:gridCol w:w="97"/>
        <w:gridCol w:w="193"/>
        <w:gridCol w:w="223"/>
        <w:gridCol w:w="300"/>
        <w:gridCol w:w="223"/>
        <w:gridCol w:w="2467"/>
        <w:gridCol w:w="4043"/>
        <w:gridCol w:w="5606"/>
        <w:gridCol w:w="752"/>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квитанции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xs:ID</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атрибут-идентификатор квитанции, уникальный в рамках сообщения. Правила присвоения идентификаторов XML-блоков приведены в таблице 6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ds:SignedInfo</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ds:SignedInfoType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блока подписанных данных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ds:CanonicalizationMethod</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ds:CanonicalizationMethodType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алгоритма каноникализации XML</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идентификатор алгоритма каноникализации XML. Правила присвоения идентификаторов приведены в таблице 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ds:SignatureMethod</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ds:SignatureMethodType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алгоритма формирования ЭЦП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атрибут-идентификатор алгоритма формирования ЭЦП. Перечень идентификаторов приведен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ds:Reference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ds:ReferenceType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ссылки на манифест квитанции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@URI</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атрибут-ссылка на XML-элемент блока манифеста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@Type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 идентифицирующий блок ds:Reference в качестве ссылки на манифест. Заполняется значением «http://www.w3.org/2000/09/xmldsig#Manifest»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ds:Transforms</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ds:TransformsType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перечня трансформаций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трансформации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атрибут-идентификатор алгоритма каноникализации XML. Правила присвоения идентификаторов приведены в таблице 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алгоритма вычисления хэш-суммы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атрибут-идентификатор алгоритма вычисления хэш-суммы для квитанции. Перечень идентификаторов приведен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хэш-суммы манифеста после проведения каноникализации XML</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ds:Reference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ds:ReferenceType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для ссылки на подписываемый блок основных реквизитов квитанции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@URI</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атрибут-ссылка на XML-элемент блока основных реквизитов квитанции, уникальных в рамках сообщения, приведенных в таблице 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@Type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 идентифицирующий блок ds:Reference в качестве ссылки на блок основных реквизитов квитанции. Заполняется значением «urn:EEC:TTP:v1.0:receipt:details»</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ds:Transforms</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ds:TransformsType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перечня трансформаций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трансформации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атрибут-идентификатор алгоритма каноникализации XML. Правила присвоения идентификаторов приведены в таблице 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алгоритма вычисления хэш-суммы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атрибут-идентификатор алгоритма вычисления хэш-суммы для квитанции. Перечень идентификаторов приведен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хэш-суммы блока основных реквизитов квитанции после проведения каноникализации XML</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ds:Reference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ds:ReferenceType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ссылки на блок дополнительных реквизитов квитанции в формате XAdES</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@URI</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атрибут-ссылка на XML-элемент блока дополнительных реквизитов квитанции в формате XAdES, приведенных в таблице 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@Type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 идентифицирующий блок ds:Reference в качестве ссылки на блок дополнительных реквизитов квитанции в формате XAdES. Заполняется значением «http://uri.etsi.org/01903#SignedProperties»</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ds:Transforms</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ds:TransformsType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перечня трансформаций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трансформации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атрибут-идентификатор алгоритма каноникализации XML. Правила присвоения идентификаторов приведены в таблице 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алгоритма вычисления хэш-суммы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атрибут-идентификатор алгоритма вычисления хэш-суммы для квитанции. Перечень идентификаторов приведен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хэш-суммы блока дополнительных реквизитов квитанции в формате XAdES после проведения каноникализации XML</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ds:SignatureValue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ds:SignatureValueType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ЭЦП, рассчитанное для элемента ds:SignedInfo квитанции после проведения каноникализации XML</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ds:KeyInfo</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ds:KeyInfoType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ключевой информации, использованной при формировании ЭЦП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ds:X509Data</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ds:X509DataType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сертификата ключа проверки ЭЦП доверенной третьей стороны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ds:X509Certificate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xs:base64Binary</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ключа проверки ЭЦП доверенной третьей стороны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ds:Object</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ds:ObjectType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дополнительных блоков данных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ds:Manifest</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ds:ManifestType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блока манифеста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xs:ID</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атрибут-идентификатор манифеста, уникальный в рамках сообщения. Правила присвоения идентификаторов приведены в таблице 6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ds:Reference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ds:ReferenceType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ссылки на подписываемый электронный документ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@URI</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атрибут-ссылка на XML-элемент блока содержимого электронного документа. Должен содержать ссылку на doc:SignedDoc/doc:Data/@Id электронного документа, для которого формируется квитанция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ds:Transforms</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ds:TransformsType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перечня трансформаций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ds:TransformType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трансформации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атрибут-идентификатор алгоритма каноникализации XML. Правила присвоения идентификаторов приведены в таблице 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оборачивающий элемент алгоритма вычисления хэш-суммы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атрибут-идентификатор алгоритма вычисления хэш-суммы для квитанции. Перечень идентификаторов приведен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хэш-суммы подписываемого электронного документа после проведения каноникализации XML, формируемого </w:t>
            </w:r>
            <w:r>
              <w:br/>
            </w:r>
            <w:r>
              <w:rPr>
                <w:rFonts w:ascii="Times New Roman"/>
                <w:b w:val="false"/>
                <w:i w:val="false"/>
                <w:color w:val="000000"/>
                <w:sz w:val="20"/>
              </w:rPr>
              <w:t>
</w:t>
            </w:r>
            <w:r>
              <w:rPr>
                <w:rFonts w:ascii="Times New Roman"/>
                <w:b w:val="false"/>
                <w:i w:val="false"/>
                <w:color w:val="000000"/>
                <w:sz w:val="20"/>
              </w:rPr>
              <w:t>в соответствии с пунктом 17 настоящего документа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rcpt:Receipt</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rcpt:ReceiptType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основных реквизитов квитанции. Описание блока приведено в таблице 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xades:QualifyingProperties</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xades:QualifyingPropertiesType</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дополнительных реквизитов квитанции в формате XAdES. Описание блока приведено в таблице 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72" w:id="33"/>
    <w:p>
      <w:pPr>
        <w:spacing w:after="0"/>
        <w:ind w:left="0"/>
        <w:jc w:val="both"/>
      </w:pPr>
      <w:r>
        <w:rPr>
          <w:rFonts w:ascii="Times New Roman"/>
          <w:b w:val="false"/>
          <w:i w:val="false"/>
          <w:color w:val="000000"/>
          <w:sz w:val="28"/>
        </w:rPr>
        <w:t>
Таблица 4</w:t>
      </w:r>
    </w:p>
    <w:bookmarkEnd w:id="33"/>
    <w:p>
      <w:pPr>
        <w:spacing w:after="0"/>
        <w:ind w:left="0"/>
        <w:jc w:val="both"/>
      </w:pPr>
      <w:r>
        <w:rPr>
          <w:rFonts w:ascii="Times New Roman"/>
          <w:b/>
          <w:i w:val="false"/>
          <w:color w:val="000000"/>
          <w:sz w:val="28"/>
        </w:rPr>
        <w:t>        Структура блока основных реквизитов квитанции</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81"/>
        <w:gridCol w:w="3856"/>
        <w:gridCol w:w="4052"/>
        <w:gridCol w:w="4104"/>
        <w:gridCol w:w="1642"/>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rcpt:Receipt</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rcpt:ReceiptType</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блока основных реквизитов квитанции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xs:ID</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атрибут-идентификатор блока основных реквизитов квитанции, уникальный в рамках сообщения. Правила присвоения идентификаторов приведены в таблице 6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rcpt:ReceiptId</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сформированной квитанции. Правила формирования идентификаторов приведены в пункте 5 настоящего документа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rcpt:DocId</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на который сформирована квитанция. Правила формирования идентификаторов приведены в пункте 6 настоящего документа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rcpt:Report</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сведений о результатах проверки. Правила формирования блока приведены в пунктах 7 – 12 настоящего документа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rcpt:Success</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rcpt:SuccessType</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указывающий на то, что проверка выполнена успешно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rcpt:Error</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rcpt:ErrorType</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указывающий на то, что при проверке возникли ошибки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rcpt:AttachedData</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дополнительных сведений. Правила формирования блока приведены в пункте 13 настоящего документа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или несколько элементов блока</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содержимое блока дополнительных сведений</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73" w:id="34"/>
    <w:p>
      <w:pPr>
        <w:spacing w:after="0"/>
        <w:ind w:left="0"/>
        <w:jc w:val="both"/>
      </w:pPr>
      <w:r>
        <w:rPr>
          <w:rFonts w:ascii="Times New Roman"/>
          <w:b w:val="false"/>
          <w:i w:val="false"/>
          <w:color w:val="000000"/>
          <w:sz w:val="28"/>
        </w:rPr>
        <w:t>
Таблица 5</w:t>
      </w:r>
    </w:p>
    <w:bookmarkEnd w:id="34"/>
    <w:p>
      <w:pPr>
        <w:spacing w:after="0"/>
        <w:ind w:left="0"/>
        <w:jc w:val="both"/>
      </w:pPr>
      <w:r>
        <w:rPr>
          <w:rFonts w:ascii="Times New Roman"/>
          <w:b/>
          <w:i w:val="false"/>
          <w:color w:val="000000"/>
          <w:sz w:val="28"/>
        </w:rPr>
        <w:t>Структура блока дополнительных реквизитов квитанции в формате</w:t>
      </w:r>
      <w:r>
        <w:br/>
      </w:r>
      <w:r>
        <w:rPr>
          <w:rFonts w:ascii="Times New Roman"/>
          <w:b w:val="false"/>
          <w:i w:val="false"/>
          <w:color w:val="000000"/>
          <w:sz w:val="28"/>
        </w:rPr>
        <w:t>
</w:t>
      </w:r>
      <w:r>
        <w:rPr>
          <w:rFonts w:ascii="Times New Roman"/>
          <w:b/>
          <w:i w:val="false"/>
          <w:color w:val="000000"/>
          <w:sz w:val="28"/>
        </w:rPr>
        <w:t>                           XAdES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76"/>
        <w:gridCol w:w="186"/>
        <w:gridCol w:w="1"/>
        <w:gridCol w:w="356"/>
        <w:gridCol w:w="376"/>
        <w:gridCol w:w="1"/>
        <w:gridCol w:w="385"/>
        <w:gridCol w:w="393"/>
        <w:gridCol w:w="2244"/>
        <w:gridCol w:w="4663"/>
        <w:gridCol w:w="3832"/>
        <w:gridCol w:w="1222"/>
      </w:tblGrid>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r>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xades:QualifyingProperties</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xades:QualifyingPropertiesType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блока дополнительных реквизитов квитанции в формате XAdES</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xades:SignedProperties</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xades:SignedPropertiesType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подписываемых свойств квитанции</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xs:ID</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атрибут-идентификатор блока подписываемых свойств квитанции в формате XAdES. Правила присвоения идентификаторов приведены в таблице 6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xades:SignedSignatureProperties</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xades:SignedSignaturePropertiesType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оборачивающий элемент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xades:SigningCertificate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xades:CertIDListType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сведений об использованном сертификате ключа проверки ЭЦП доверенной третьей стороны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xades:Cert</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xades:CertIDType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сведений об используемом сертификате ключа проверки ЭЦП доверенной третьей стороны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xades:CertDigest</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xades:DigestAlgAndValueType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хэш-суммы использованного сертификата ключа проверки ЭЦП доверенной третьей стороны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ds:DigestMethodType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алгоритма вычисления хэш-суммы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@Algorithm</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идентификатор алгоритма вычисления </w:t>
            </w:r>
            <w:r>
              <w:br/>
            </w:r>
            <w:r>
              <w:rPr>
                <w:rFonts w:ascii="Times New Roman"/>
                <w:b w:val="false"/>
                <w:i w:val="false"/>
                <w:color w:val="000000"/>
                <w:sz w:val="20"/>
              </w:rPr>
              <w:t>
</w:t>
            </w:r>
            <w:r>
              <w:rPr>
                <w:rFonts w:ascii="Times New Roman"/>
                <w:b w:val="false"/>
                <w:i w:val="false"/>
                <w:color w:val="000000"/>
                <w:sz w:val="20"/>
              </w:rPr>
              <w:t>хэш-суммы для квитанции. Перечень идентификаторов приведен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ds:DigestValueType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хэш-суммы сертификата ключа проверки ЭЦП доверенной третьей стороны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ds:IssuerSerial</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ds:X509IssuerSerialType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оборачивающий элемент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ds:X509IssuerName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xs:string</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удостоверяющего центра, выпустившего сертификат ключа проверки ЭЦП доверенной третьей стороны (поле Issuer заполняется согласно стандарту X.509)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ds:X509SerialNumber</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xs:integer</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номер сертификата ключа проверки ЭЦП доверенной третьей стороны (поле SerialNumber заполняется согласно стандарту X.509)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xades:SignatureProductionPlace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xades:SignatureProductionPlace</w:t>
            </w:r>
            <w:r>
              <w:br/>
            </w:r>
            <w:r>
              <w:rPr>
                <w:rFonts w:ascii="Times New Roman"/>
                <w:b w:val="false"/>
                <w:i w:val="false"/>
                <w:color w:val="000000"/>
                <w:sz w:val="20"/>
              </w:rPr>
              <w:t>
</w:t>
            </w:r>
            <w:r>
              <w:rPr>
                <w:rFonts w:ascii="Times New Roman"/>
                <w:b w:val="false"/>
                <w:i w:val="false"/>
                <w:color w:val="000000"/>
                <w:sz w:val="20"/>
              </w:rPr>
              <w:t>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места (сегмента) формирования квитанции</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xades:CountryName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xs:string</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места (сегмента) формирования квитанции. Правила заполнения приведены в пункте 14 настоящего документа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xades:SignerRole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xades:SignerRoleType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сведений о роли доверенной третьей стороны, формирующей квитанцию</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xades:ClaimedRoles</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xades:ClaimedRolesListType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оборачивающий элемент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xades:ClaimedRole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xades:AnyType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доверенной третьей стороны. Перечень ролей приведен в пункте 15 настоящего документа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xades:UnsignedProperties</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xades:UnsignedPropertiesType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неподписываемых свойств квитанции, содержащий метку времени</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xades:SignatureTimeStamp</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xades:SignatureTimeStamp</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оборачивающий элемент для штампа времени</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ds:CanonicalizationMethod</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ds:CanonicalizationMethodType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идентификатор алгоритма каноникализации XML. Правила присвоения идентификаторов приведены в таблице 2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xades:EncapsulatedTimeStamp</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xades:EncapsulatedPKIDataType</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 времени, оформленный согласно стандарту протокола штампов времени RFC 3161. Правила формирования штампа времени приведены в пункте 16 настоящего документа. При формировании штампа времени идентификаторы криптографических алгоритмов должны указываться в соответствии с правилами, предусмотренными приложением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74" w:id="35"/>
    <w:p>
      <w:pPr>
        <w:spacing w:after="0"/>
        <w:ind w:left="0"/>
        <w:jc w:val="both"/>
      </w:pPr>
      <w:r>
        <w:rPr>
          <w:rFonts w:ascii="Times New Roman"/>
          <w:b w:val="false"/>
          <w:i w:val="false"/>
          <w:color w:val="000000"/>
          <w:sz w:val="28"/>
        </w:rPr>
        <w:t>
      4. Правила заполнения идентификаторов XML-блоков приведены в таблице 6. При этом вместо элемента &lt;Номер&gt; должно подставляться значение «1», а вместо элемента &lt;ДТС&gt; должно подставляться одно из следующих значений:</w:t>
      </w:r>
      <w:r>
        <w:br/>
      </w:r>
      <w:r>
        <w:rPr>
          <w:rFonts w:ascii="Times New Roman"/>
          <w:b w:val="false"/>
          <w:i w:val="false"/>
          <w:color w:val="000000"/>
          <w:sz w:val="28"/>
        </w:rPr>
        <w:t>
      а) TTP.Sender – если квитанция формируется доверенной третьей стороной отправителя;</w:t>
      </w:r>
      <w:r>
        <w:br/>
      </w:r>
      <w:r>
        <w:rPr>
          <w:rFonts w:ascii="Times New Roman"/>
          <w:b w:val="false"/>
          <w:i w:val="false"/>
          <w:color w:val="000000"/>
          <w:sz w:val="28"/>
        </w:rPr>
        <w:t>
      б) TTP.Receiver – если квитанция формируется доверенной третьей стороной получателя.</w:t>
      </w:r>
    </w:p>
    <w:bookmarkEnd w:id="35"/>
    <w:bookmarkStart w:name="z175" w:id="36"/>
    <w:p>
      <w:pPr>
        <w:spacing w:after="0"/>
        <w:ind w:left="0"/>
        <w:jc w:val="both"/>
      </w:pPr>
      <w:r>
        <w:rPr>
          <w:rFonts w:ascii="Times New Roman"/>
          <w:b w:val="false"/>
          <w:i w:val="false"/>
          <w:color w:val="000000"/>
          <w:sz w:val="28"/>
        </w:rPr>
        <w:t>
Таблица 6</w:t>
      </w:r>
    </w:p>
    <w:bookmarkEnd w:id="36"/>
    <w:p>
      <w:pPr>
        <w:spacing w:after="0"/>
        <w:ind w:left="0"/>
        <w:jc w:val="both"/>
      </w:pPr>
      <w:r>
        <w:rPr>
          <w:rFonts w:ascii="Times New Roman"/>
          <w:b/>
          <w:i w:val="false"/>
          <w:color w:val="000000"/>
          <w:sz w:val="28"/>
        </w:rPr>
        <w:t>          Правила заполнения идентификаторов XML-блоков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8"/>
        <w:gridCol w:w="7392"/>
      </w:tblGrid>
      <w:tr>
        <w:trPr>
          <w:trHeight w:val="600" w:hRule="atLeast"/>
        </w:trPr>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XML-блока</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заполнения</w:t>
            </w:r>
          </w:p>
        </w:tc>
      </w:tr>
      <w:tr>
        <w:trPr>
          <w:trHeight w:val="525" w:hRule="atLeast"/>
        </w:trPr>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квитанции</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&lt;ДТС&gt;.Receipt&lt;Номер&gt;</w:t>
            </w:r>
          </w:p>
        </w:tc>
      </w:tr>
      <w:tr>
        <w:trPr>
          <w:trHeight w:val="525" w:hRule="atLeast"/>
        </w:trPr>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блока манифеста</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&lt;ДТС&gt;.Receipt&lt;Номер&gt;Manifest</w:t>
            </w:r>
          </w:p>
        </w:tc>
      </w:tr>
      <w:tr>
        <w:trPr>
          <w:trHeight w:val="810" w:hRule="atLeast"/>
        </w:trPr>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блока основных реквизитов квитанции</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&lt;ДТС&gt;.Receipt.&lt;Номер&gt;Details</w:t>
            </w:r>
          </w:p>
        </w:tc>
      </w:tr>
      <w:tr>
        <w:trPr>
          <w:trHeight w:val="435" w:hRule="atLeast"/>
        </w:trPr>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блока подписываемых свойств квитанции в формате XAdES</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&lt;ДТС&gt;.Receipt&lt;Номер&gt;SignedProperties</w:t>
            </w:r>
          </w:p>
        </w:tc>
      </w:tr>
    </w:tbl>
    <w:bookmarkStart w:name="z176" w:id="37"/>
    <w:p>
      <w:pPr>
        <w:spacing w:after="0"/>
        <w:ind w:left="0"/>
        <w:jc w:val="both"/>
      </w:pPr>
      <w:r>
        <w:rPr>
          <w:rFonts w:ascii="Times New Roman"/>
          <w:b w:val="false"/>
          <w:i w:val="false"/>
          <w:color w:val="000000"/>
          <w:sz w:val="28"/>
        </w:rPr>
        <w:t>
      5. Уникальный идентификатор квитанции (элемент rcpt:ReceiptId) должен формироваться согласно спецификации RFC 4122 (Network Working Group. RFC 4122. «A Universally Unique IDentifier (UUID) URN Namespace». http://www.ietf.org/rfc/rfc4122.txt).</w:t>
      </w:r>
      <w:r>
        <w:br/>
      </w:r>
      <w:r>
        <w:rPr>
          <w:rFonts w:ascii="Times New Roman"/>
          <w:b w:val="false"/>
          <w:i w:val="false"/>
          <w:color w:val="000000"/>
          <w:sz w:val="28"/>
        </w:rPr>
        <w:t>
</w:t>
      </w:r>
      <w:r>
        <w:rPr>
          <w:rFonts w:ascii="Times New Roman"/>
          <w:b w:val="false"/>
          <w:i w:val="false"/>
          <w:color w:val="000000"/>
          <w:sz w:val="28"/>
        </w:rPr>
        <w:t>
      6. Идентификатор электронного документа (rcpt:DocId) представляет собой строку, уникально идентифицирующую электронный документ, на который формируется квитанция. Идентификатор заполняется значением следующего атрибута из структуры электронного документа: «doc:SignedDoc/doc:Dаta/doc:SignedContent/@DocInstance».</w:t>
      </w:r>
      <w:r>
        <w:br/>
      </w:r>
      <w:r>
        <w:rPr>
          <w:rFonts w:ascii="Times New Roman"/>
          <w:b w:val="false"/>
          <w:i w:val="false"/>
          <w:color w:val="000000"/>
          <w:sz w:val="28"/>
        </w:rPr>
        <w:t>
</w:t>
      </w:r>
      <w:r>
        <w:rPr>
          <w:rFonts w:ascii="Times New Roman"/>
          <w:b w:val="false"/>
          <w:i w:val="false"/>
          <w:color w:val="000000"/>
          <w:sz w:val="28"/>
        </w:rPr>
        <w:t>
      7. Блок сведений о результатах проверки (rcpt:Report) должен содержать один или несколько элементов rcpt:Success и rcpt:Error, свидетельствующих о результатах проверок, выполненных доверенной третьей стороной. Структура элементов rcpt:Success и rcpt:Error приведена в таблицах 7 – 8.</w:t>
      </w:r>
    </w:p>
    <w:bookmarkEnd w:id="37"/>
    <w:bookmarkStart w:name="z179" w:id="38"/>
    <w:p>
      <w:pPr>
        <w:spacing w:after="0"/>
        <w:ind w:left="0"/>
        <w:jc w:val="both"/>
      </w:pPr>
      <w:r>
        <w:rPr>
          <w:rFonts w:ascii="Times New Roman"/>
          <w:b w:val="false"/>
          <w:i w:val="false"/>
          <w:color w:val="000000"/>
          <w:sz w:val="28"/>
        </w:rPr>
        <w:t>
Таблица 7</w:t>
      </w:r>
    </w:p>
    <w:bookmarkEnd w:id="38"/>
    <w:p>
      <w:pPr>
        <w:spacing w:after="0"/>
        <w:ind w:left="0"/>
        <w:jc w:val="both"/>
      </w:pPr>
      <w:r>
        <w:rPr>
          <w:rFonts w:ascii="Times New Roman"/>
          <w:b/>
          <w:i w:val="false"/>
          <w:color w:val="000000"/>
          <w:sz w:val="28"/>
        </w:rPr>
        <w:t xml:space="preserve">               Структура элемента rcpt:Success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16"/>
        <w:gridCol w:w="3450"/>
        <w:gridCol w:w="2910"/>
        <w:gridCol w:w="4073"/>
        <w:gridCol w:w="2912"/>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r>
      <w:tr>
        <w:trPr>
          <w:trHeight w:val="4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rcpt:Success</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rcpt:SuccessType</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указывающий, что проверка выполнена успешно</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@Reference</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проверяемого объекта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180" w:id="39"/>
    <w:p>
      <w:pPr>
        <w:spacing w:after="0"/>
        <w:ind w:left="0"/>
        <w:jc w:val="both"/>
      </w:pPr>
      <w:r>
        <w:rPr>
          <w:rFonts w:ascii="Times New Roman"/>
          <w:b w:val="false"/>
          <w:i w:val="false"/>
          <w:color w:val="000000"/>
          <w:sz w:val="28"/>
        </w:rPr>
        <w:t>
Таблица 8</w:t>
      </w:r>
    </w:p>
    <w:bookmarkEnd w:id="39"/>
    <w:p>
      <w:pPr>
        <w:spacing w:after="0"/>
        <w:ind w:left="0"/>
        <w:jc w:val="both"/>
      </w:pPr>
      <w:r>
        <w:rPr>
          <w:rFonts w:ascii="Times New Roman"/>
          <w:b/>
          <w:i w:val="false"/>
          <w:color w:val="000000"/>
          <w:sz w:val="28"/>
        </w:rPr>
        <w:t>                Структура элемента rcpt:Error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348"/>
        <w:gridCol w:w="3396"/>
        <w:gridCol w:w="2987"/>
        <w:gridCol w:w="3885"/>
        <w:gridCol w:w="3012"/>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rcpt:Error</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rcpt:ErrorType</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указывающий, что при проверке возникла ошибка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@Reference</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xs:anyURI</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проверяемого объекта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2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rcpt:ReasonCode</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xs:string</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ошибки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rcpt:ReasonText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xs:string</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текстовое описание ошибки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81" w:id="40"/>
    <w:p>
      <w:pPr>
        <w:spacing w:after="0"/>
        <w:ind w:left="0"/>
        <w:jc w:val="both"/>
      </w:pPr>
      <w:r>
        <w:rPr>
          <w:rFonts w:ascii="Times New Roman"/>
          <w:b w:val="false"/>
          <w:i w:val="false"/>
          <w:color w:val="000000"/>
          <w:sz w:val="28"/>
        </w:rPr>
        <w:t>
      8. Атрибут Reference элементов rcpt:Success и rcpt:Error заполняется доверенной третьей стороной отправителя. Атрибут должен содержать ссылку на ЭЦП в электронном документе, для которого формируется элемент rcpt:Success или rcpt:Error. Для формирования ссылки следует использовать значение атрибута ds:Signature/@Id ЭЦП.</w:t>
      </w:r>
      <w:r>
        <w:br/>
      </w:r>
      <w:r>
        <w:rPr>
          <w:rFonts w:ascii="Times New Roman"/>
          <w:b w:val="false"/>
          <w:i w:val="false"/>
          <w:color w:val="000000"/>
          <w:sz w:val="28"/>
        </w:rPr>
        <w:t>
      Доверенная третья сторона получателя не должна формировать атрибут Reference.</w:t>
      </w:r>
      <w:r>
        <w:br/>
      </w:r>
      <w:r>
        <w:rPr>
          <w:rFonts w:ascii="Times New Roman"/>
          <w:b w:val="false"/>
          <w:i w:val="false"/>
          <w:color w:val="000000"/>
          <w:sz w:val="28"/>
        </w:rPr>
        <w:t>
</w:t>
      </w:r>
      <w:r>
        <w:rPr>
          <w:rFonts w:ascii="Times New Roman"/>
          <w:b w:val="false"/>
          <w:i w:val="false"/>
          <w:color w:val="000000"/>
          <w:sz w:val="28"/>
        </w:rPr>
        <w:t>
      9. При заполнении элемента rcpt:ReasonCode должны использоваться следующие коды:</w:t>
      </w:r>
      <w:r>
        <w:br/>
      </w:r>
      <w:r>
        <w:rPr>
          <w:rFonts w:ascii="Times New Roman"/>
          <w:b w:val="false"/>
          <w:i w:val="false"/>
          <w:color w:val="000000"/>
          <w:sz w:val="28"/>
        </w:rPr>
        <w:t xml:space="preserve">
      а) Signature.Error – код свидетельствует об ошибке проверки ЭЦП в электронном документе или ЭЦП в квитанции; </w:t>
      </w:r>
      <w:r>
        <w:br/>
      </w:r>
      <w:r>
        <w:rPr>
          <w:rFonts w:ascii="Times New Roman"/>
          <w:b w:val="false"/>
          <w:i w:val="false"/>
          <w:color w:val="000000"/>
          <w:sz w:val="28"/>
        </w:rPr>
        <w:t>
      б) Signature.BadCertificate – код свидетельствует об ошибке проверки сертификата ключа проверки ЭЦП электронного документа либо сертификата ключа проверки ЭЦП квитанции.</w:t>
      </w:r>
      <w:r>
        <w:br/>
      </w:r>
      <w:r>
        <w:rPr>
          <w:rFonts w:ascii="Times New Roman"/>
          <w:b w:val="false"/>
          <w:i w:val="false"/>
          <w:color w:val="000000"/>
          <w:sz w:val="28"/>
        </w:rPr>
        <w:t>
</w:t>
      </w:r>
      <w:r>
        <w:rPr>
          <w:rFonts w:ascii="Times New Roman"/>
          <w:b w:val="false"/>
          <w:i w:val="false"/>
          <w:color w:val="000000"/>
          <w:sz w:val="28"/>
        </w:rPr>
        <w:t>
      10. Элемент rcpt:ReasonText содержит текст, описывающий ошибку. Правила заполнения элемента rcpt:ReasonText доверенная третья сторона определяет самостоятельно.</w:t>
      </w:r>
      <w:r>
        <w:br/>
      </w:r>
      <w:r>
        <w:rPr>
          <w:rFonts w:ascii="Times New Roman"/>
          <w:b w:val="false"/>
          <w:i w:val="false"/>
          <w:color w:val="000000"/>
          <w:sz w:val="28"/>
        </w:rPr>
        <w:t>
</w:t>
      </w:r>
      <w:r>
        <w:rPr>
          <w:rFonts w:ascii="Times New Roman"/>
          <w:b w:val="false"/>
          <w:i w:val="false"/>
          <w:color w:val="000000"/>
          <w:sz w:val="28"/>
        </w:rPr>
        <w:t>
      11. Доверенной третьей стороной отправителя должен быть реализован следующий алгоритм формирования содержимого блока сведений о результатах проверки rcpt:Report:</w:t>
      </w:r>
      <w:r>
        <w:br/>
      </w:r>
      <w:r>
        <w:rPr>
          <w:rFonts w:ascii="Times New Roman"/>
          <w:b w:val="false"/>
          <w:i w:val="false"/>
          <w:color w:val="000000"/>
          <w:sz w:val="28"/>
        </w:rPr>
        <w:t>
      а) выполняется поиск первой ЭЦП в электронном документе;</w:t>
      </w:r>
      <w:r>
        <w:br/>
      </w:r>
      <w:r>
        <w:rPr>
          <w:rFonts w:ascii="Times New Roman"/>
          <w:b w:val="false"/>
          <w:i w:val="false"/>
          <w:color w:val="000000"/>
          <w:sz w:val="28"/>
        </w:rPr>
        <w:t>
      б) для найденной ЭЦП выполняются проверки, предусмотренные подразделом 2 раздела III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утвержденного Решением Коллегии Евразийской экономической комиссии от 28 сентября 2015 г. № 125;</w:t>
      </w:r>
      <w:r>
        <w:br/>
      </w:r>
      <w:r>
        <w:rPr>
          <w:rFonts w:ascii="Times New Roman"/>
          <w:b w:val="false"/>
          <w:i w:val="false"/>
          <w:color w:val="000000"/>
          <w:sz w:val="28"/>
        </w:rPr>
        <w:t>
      в) если все проверки ЭЦП выполнены успешно, то доверенной третьей стороной отправителя формируется блок rcpt:Success, в противном случае формируется блок rcpt:Error;</w:t>
      </w:r>
      <w:r>
        <w:br/>
      </w:r>
      <w:r>
        <w:rPr>
          <w:rFonts w:ascii="Times New Roman"/>
          <w:b w:val="false"/>
          <w:i w:val="false"/>
          <w:color w:val="000000"/>
          <w:sz w:val="28"/>
        </w:rPr>
        <w:t>
      г) выполняется поиск следующей ЭЦП в электронном документе. Если ЭЦП найдена, действия, указанные в подпунктах «б» – «г» настоящего пункта, повторяются.</w:t>
      </w:r>
      <w:r>
        <w:br/>
      </w:r>
      <w:r>
        <w:rPr>
          <w:rFonts w:ascii="Times New Roman"/>
          <w:b w:val="false"/>
          <w:i w:val="false"/>
          <w:color w:val="000000"/>
          <w:sz w:val="28"/>
        </w:rPr>
        <w:t>
</w:t>
      </w:r>
      <w:r>
        <w:rPr>
          <w:rFonts w:ascii="Times New Roman"/>
          <w:b w:val="false"/>
          <w:i w:val="false"/>
          <w:color w:val="000000"/>
          <w:sz w:val="28"/>
        </w:rPr>
        <w:t>
      12. Доверенной третьей стороной получателя должен быть реализован следующий алгоритм формирования содержимого блока сведений о результатах проверки rcpt:Report:</w:t>
      </w:r>
      <w:r>
        <w:br/>
      </w:r>
      <w:r>
        <w:rPr>
          <w:rFonts w:ascii="Times New Roman"/>
          <w:b w:val="false"/>
          <w:i w:val="false"/>
          <w:color w:val="000000"/>
          <w:sz w:val="28"/>
        </w:rPr>
        <w:t>
      а) выполняется поиск квитанции доверенной третьей стороны получателя в составе электронного документа;</w:t>
      </w:r>
      <w:r>
        <w:br/>
      </w:r>
      <w:r>
        <w:rPr>
          <w:rFonts w:ascii="Times New Roman"/>
          <w:b w:val="false"/>
          <w:i w:val="false"/>
          <w:color w:val="000000"/>
          <w:sz w:val="28"/>
        </w:rPr>
        <w:t>
      б) для найденной квитанции выполняются проверки, предусмотренные подразделом 2 раздела III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утвержденного Решением Коллегии Евразийской экономической комиссии от 28 сентября 2015 г. № 125;</w:t>
      </w:r>
      <w:r>
        <w:br/>
      </w:r>
      <w:r>
        <w:rPr>
          <w:rFonts w:ascii="Times New Roman"/>
          <w:b w:val="false"/>
          <w:i w:val="false"/>
          <w:color w:val="000000"/>
          <w:sz w:val="28"/>
        </w:rPr>
        <w:t>
      в) если все проверки квитанции выполнены успешно, то доверенной третьей стороной получателя формируется блок rcpt:Success, в противном случае формируется блок rcpt:Error.</w:t>
      </w:r>
      <w:r>
        <w:br/>
      </w:r>
      <w:r>
        <w:rPr>
          <w:rFonts w:ascii="Times New Roman"/>
          <w:b w:val="false"/>
          <w:i w:val="false"/>
          <w:color w:val="000000"/>
          <w:sz w:val="28"/>
        </w:rPr>
        <w:t>
</w:t>
      </w:r>
      <w:r>
        <w:rPr>
          <w:rFonts w:ascii="Times New Roman"/>
          <w:b w:val="false"/>
          <w:i w:val="false"/>
          <w:color w:val="000000"/>
          <w:sz w:val="28"/>
        </w:rPr>
        <w:t>
      13. Блок rcpt:AttachedData содержит дополнительную информацию, связанную с квитанцией.</w:t>
      </w:r>
      <w:r>
        <w:br/>
      </w:r>
      <w:r>
        <w:rPr>
          <w:rFonts w:ascii="Times New Roman"/>
          <w:b w:val="false"/>
          <w:i w:val="false"/>
          <w:color w:val="000000"/>
          <w:sz w:val="28"/>
        </w:rPr>
        <w:t>
      Доверенная третья сторона получателя должна вкладывать в блок rcpt:AttachedData квитанцию доверенной третьей стороны отправителя.</w:t>
      </w:r>
      <w:r>
        <w:br/>
      </w:r>
      <w:r>
        <w:rPr>
          <w:rFonts w:ascii="Times New Roman"/>
          <w:b w:val="false"/>
          <w:i w:val="false"/>
          <w:color w:val="000000"/>
          <w:sz w:val="28"/>
        </w:rPr>
        <w:t>
</w:t>
      </w:r>
      <w:r>
        <w:rPr>
          <w:rFonts w:ascii="Times New Roman"/>
          <w:b w:val="false"/>
          <w:i w:val="false"/>
          <w:color w:val="000000"/>
          <w:sz w:val="28"/>
        </w:rPr>
        <w:t>
      14. Для идентификации места (сегмента) формирования квитанции (элемент xades:CountryName) должен использоваться один из следующих кодов:</w:t>
      </w:r>
      <w:r>
        <w:br/>
      </w:r>
      <w:r>
        <w:rPr>
          <w:rFonts w:ascii="Times New Roman"/>
          <w:b w:val="false"/>
          <w:i w:val="false"/>
          <w:color w:val="000000"/>
          <w:sz w:val="28"/>
        </w:rPr>
        <w:t>
      а) EEC – при формировании квитанции в интеграционном сегменте Евразийской экономической комиссии;</w:t>
      </w:r>
      <w:r>
        <w:br/>
      </w:r>
      <w:r>
        <w:rPr>
          <w:rFonts w:ascii="Times New Roman"/>
          <w:b w:val="false"/>
          <w:i w:val="false"/>
          <w:color w:val="000000"/>
          <w:sz w:val="28"/>
        </w:rPr>
        <w:t>
      б) код страны в соответствии со стандартом ISO 3166-1 alpha-2 – при формировании квитанции в одном из национальных сегментов государств – членов Евразийского экономического союза (далее – государства-члены).</w:t>
      </w:r>
      <w:r>
        <w:br/>
      </w:r>
      <w:r>
        <w:rPr>
          <w:rFonts w:ascii="Times New Roman"/>
          <w:b w:val="false"/>
          <w:i w:val="false"/>
          <w:color w:val="000000"/>
          <w:sz w:val="28"/>
        </w:rPr>
        <w:t>
</w:t>
      </w:r>
      <w:r>
        <w:rPr>
          <w:rFonts w:ascii="Times New Roman"/>
          <w:b w:val="false"/>
          <w:i w:val="false"/>
          <w:color w:val="000000"/>
          <w:sz w:val="28"/>
        </w:rPr>
        <w:t>
      15. Для указания роли доверенной третьей стороны (элемент xades:ClaimedRole) должен использоваться один из следующих кодов:</w:t>
      </w:r>
      <w:r>
        <w:br/>
      </w:r>
      <w:r>
        <w:rPr>
          <w:rFonts w:ascii="Times New Roman"/>
          <w:b w:val="false"/>
          <w:i w:val="false"/>
          <w:color w:val="000000"/>
          <w:sz w:val="28"/>
        </w:rPr>
        <w:t>
      а) TTP.Sender – если квитанция формируется доверенной третьей стороной отправителя;</w:t>
      </w:r>
      <w:r>
        <w:br/>
      </w:r>
      <w:r>
        <w:rPr>
          <w:rFonts w:ascii="Times New Roman"/>
          <w:b w:val="false"/>
          <w:i w:val="false"/>
          <w:color w:val="000000"/>
          <w:sz w:val="28"/>
        </w:rPr>
        <w:t>
      б) TTP.Receiver – если квитанция формируется доверенной третьей стороной получателя.</w:t>
      </w:r>
      <w:r>
        <w:br/>
      </w:r>
      <w:r>
        <w:rPr>
          <w:rFonts w:ascii="Times New Roman"/>
          <w:b w:val="false"/>
          <w:i w:val="false"/>
          <w:color w:val="000000"/>
          <w:sz w:val="28"/>
        </w:rPr>
        <w:t>
</w:t>
      </w:r>
      <w:r>
        <w:rPr>
          <w:rFonts w:ascii="Times New Roman"/>
          <w:b w:val="false"/>
          <w:i w:val="false"/>
          <w:color w:val="000000"/>
          <w:sz w:val="28"/>
        </w:rPr>
        <w:t>
      16. Формирование штампа времени (элемент xades:EncapsulatedTimeStamp) для квитанции доверенной третьей стороны отправителя выполняется с использованием сервиса штампа времени удостоверяющего центра службы доверенной третьей стороны и с применением стандартов службы доверенной третьей стороны интегрированной системы.</w:t>
      </w:r>
      <w:r>
        <w:br/>
      </w:r>
      <w:r>
        <w:rPr>
          <w:rFonts w:ascii="Times New Roman"/>
          <w:b w:val="false"/>
          <w:i w:val="false"/>
          <w:color w:val="000000"/>
          <w:sz w:val="28"/>
        </w:rPr>
        <w:t>
      Формирование штампа времени для квитанции доверенной третьей стороны получателя выполняется с использованием сервиса штампа времени государства-члена и с применением национальных криптографических стандартов.</w:t>
      </w:r>
      <w:r>
        <w:br/>
      </w:r>
      <w:r>
        <w:rPr>
          <w:rFonts w:ascii="Times New Roman"/>
          <w:b w:val="false"/>
          <w:i w:val="false"/>
          <w:color w:val="000000"/>
          <w:sz w:val="28"/>
        </w:rPr>
        <w:t>
      В случае недоступности сервиса штампа времени удостоверяющего центра службы доверенной третьей стороны должен использоваться автономный сервис штампа времени доверенной третьей стороны отправителя с формированием штампа времени при помощи криптографических стандартов службы доверенной третьей стороны интегрированной системы. Недоступность сервиса штампа времени удостоверяющего центра службы доверенной третьей стороны является нештатной ситуацией, и указанный факт в обязательном порядке фиксируется в журнале аудита доверенной третьей стороны с целью проведения анализа причин и их устранения.</w:t>
      </w:r>
      <w:r>
        <w:br/>
      </w:r>
      <w:r>
        <w:rPr>
          <w:rFonts w:ascii="Times New Roman"/>
          <w:b w:val="false"/>
          <w:i w:val="false"/>
          <w:color w:val="000000"/>
          <w:sz w:val="28"/>
        </w:rPr>
        <w:t>
</w:t>
      </w:r>
      <w:r>
        <w:rPr>
          <w:rFonts w:ascii="Times New Roman"/>
          <w:b w:val="false"/>
          <w:i w:val="false"/>
          <w:color w:val="000000"/>
          <w:sz w:val="28"/>
        </w:rPr>
        <w:t>
      17. Хэш в блоке манифеста квитанции (содержимое элемента ds:Signature/ds:Object/ds:Manifest/ds:Reference/ds:DigestValue) должен формироваться на блок doc:Dаta электронного документа, включая сам XML-тег doc:Dаta, его атрибуты и все элементы-потомки (рисунок 1).</w:t>
      </w:r>
      <w:r>
        <w:br/>
      </w:r>
      <w:r>
        <w:rPr>
          <w:rFonts w:ascii="Times New Roman"/>
          <w:b w:val="false"/>
          <w:i w:val="false"/>
          <w:color w:val="000000"/>
          <w:sz w:val="28"/>
        </w:rPr>
        <w:t>
      Выборка XML-элементов электронного документа для формирования хэша должна выполняться по правилам, аналогичным для выборок по ссылкам типа «same-document reference» стандарта XMLDsig (раздел 4.3.3.3). Должна производиться выборка всего множества XML-элементов электронного документа, исключая элементы-комментарии (non-comment node).</w:t>
      </w:r>
    </w:p>
    <w:bookmarkEnd w:id="40"/>
    <w:p>
      <w:pPr>
        <w:spacing w:after="0"/>
        <w:ind w:left="0"/>
        <w:jc w:val="both"/>
      </w:pPr>
      <w:r>
        <w:drawing>
          <wp:inline distT="0" distB="0" distL="0" distR="0">
            <wp:extent cx="60960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0" cy="5613400"/>
                    </a:xfrm>
                    <a:prstGeom prst="rect">
                      <a:avLst/>
                    </a:prstGeom>
                  </pic:spPr>
                </pic:pic>
              </a:graphicData>
            </a:graphic>
          </wp:inline>
        </w:drawing>
      </w:r>
    </w:p>
    <w:p>
      <w:pPr>
        <w:spacing w:after="0"/>
        <w:ind w:left="0"/>
        <w:jc w:val="both"/>
      </w:pPr>
      <w:r>
        <w:rPr>
          <w:rFonts w:ascii="Times New Roman"/>
          <w:b w:val="false"/>
          <w:i w:val="false"/>
          <w:color w:val="000000"/>
          <w:sz w:val="28"/>
        </w:rPr>
        <w:t>     Рис. 1. Расположение квитанции в структуре электронного</w:t>
      </w:r>
      <w:r>
        <w:br/>
      </w:r>
      <w:r>
        <w:rPr>
          <w:rFonts w:ascii="Times New Roman"/>
          <w:b w:val="false"/>
          <w:i w:val="false"/>
          <w:color w:val="000000"/>
          <w:sz w:val="28"/>
        </w:rPr>
        <w:t>
документа, а также области формирования хэша в блоке манифеста</w:t>
      </w:r>
      <w:r>
        <w:br/>
      </w:r>
      <w:r>
        <w:rPr>
          <w:rFonts w:ascii="Times New Roman"/>
          <w:b w:val="false"/>
          <w:i w:val="false"/>
          <w:color w:val="000000"/>
          <w:sz w:val="28"/>
        </w:rPr>
        <w:t>
квитанции</w:t>
      </w:r>
    </w:p>
    <w:bookmarkStart w:name="z190" w:id="41"/>
    <w:p>
      <w:pPr>
        <w:spacing w:after="0"/>
        <w:ind w:left="0"/>
        <w:jc w:val="both"/>
      </w:pPr>
      <w:r>
        <w:rPr>
          <w:rFonts w:ascii="Times New Roman"/>
          <w:b w:val="false"/>
          <w:i w:val="false"/>
          <w:color w:val="000000"/>
          <w:sz w:val="28"/>
        </w:rPr>
        <w:t>
      18. В целях снижения затрат на передачу электронного документа от отправителя получателю в условиях разнородности форматов сообщений, используемых внутри национальных сегментов государств-членов, квитанции должны быть вложены в структуру электронного документа.</w:t>
      </w:r>
      <w:r>
        <w:br/>
      </w:r>
      <w:r>
        <w:rPr>
          <w:rFonts w:ascii="Times New Roman"/>
          <w:b w:val="false"/>
          <w:i w:val="false"/>
          <w:color w:val="000000"/>
          <w:sz w:val="28"/>
        </w:rPr>
        <w:t>
      Вложение квитанции выполняется путем добавления XML-структуры квитанции в качестве дочернего элемента блока doc:SignedDoc после блока doc:Data (рисунок 1).</w:t>
      </w:r>
      <w:r>
        <w:br/>
      </w:r>
      <w:r>
        <w:rPr>
          <w:rFonts w:ascii="Times New Roman"/>
          <w:b w:val="false"/>
          <w:i w:val="false"/>
          <w:color w:val="000000"/>
          <w:sz w:val="28"/>
        </w:rPr>
        <w:t>
</w:t>
      </w:r>
      <w:r>
        <w:rPr>
          <w:rFonts w:ascii="Times New Roman"/>
          <w:b w:val="false"/>
          <w:i w:val="false"/>
          <w:color w:val="000000"/>
          <w:sz w:val="28"/>
        </w:rPr>
        <w:t>
      19. Проверка ЭЦП в квитанции может выполняться в 2 режимах:</w:t>
      </w:r>
      <w:r>
        <w:br/>
      </w:r>
      <w:r>
        <w:rPr>
          <w:rFonts w:ascii="Times New Roman"/>
          <w:b w:val="false"/>
          <w:i w:val="false"/>
          <w:color w:val="000000"/>
          <w:sz w:val="28"/>
        </w:rPr>
        <w:t>
      а) проверка ЭЦП в квитанции при наличии электронного документа, на который сформирована квитанция (основной режим проверки);</w:t>
      </w:r>
      <w:r>
        <w:br/>
      </w:r>
      <w:r>
        <w:rPr>
          <w:rFonts w:ascii="Times New Roman"/>
          <w:b w:val="false"/>
          <w:i w:val="false"/>
          <w:color w:val="000000"/>
          <w:sz w:val="28"/>
        </w:rPr>
        <w:t>
      б) проверка ЭЦП в квитанции без электронного документа, на который сформирована квитанция (служебный режим проверки).</w:t>
      </w:r>
      <w:r>
        <w:br/>
      </w:r>
      <w:r>
        <w:rPr>
          <w:rFonts w:ascii="Times New Roman"/>
          <w:b w:val="false"/>
          <w:i w:val="false"/>
          <w:color w:val="000000"/>
          <w:sz w:val="28"/>
        </w:rPr>
        <w:t>
</w:t>
      </w:r>
      <w:r>
        <w:rPr>
          <w:rFonts w:ascii="Times New Roman"/>
          <w:b w:val="false"/>
          <w:i w:val="false"/>
          <w:color w:val="000000"/>
          <w:sz w:val="28"/>
        </w:rPr>
        <w:t>
      20. Проверка ЭЦП в квитанции в основном режиме выполняется в целях обеспечения юридической значимости электронного документа, на который сформирована квитанция.</w:t>
      </w:r>
      <w:r>
        <w:br/>
      </w:r>
      <w:r>
        <w:rPr>
          <w:rFonts w:ascii="Times New Roman"/>
          <w:b w:val="false"/>
          <w:i w:val="false"/>
          <w:color w:val="000000"/>
          <w:sz w:val="28"/>
        </w:rPr>
        <w:t>
      Все проверки ЭЦП в квитанции, предусмотренные подразделом 2 раздела III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утвержденного Решением Коллегии Евразийской экономической комиссии от 28 сентября 2015 г. № 125, выполняются в основном режиме.</w:t>
      </w:r>
      <w:r>
        <w:br/>
      </w:r>
      <w:r>
        <w:rPr>
          <w:rFonts w:ascii="Times New Roman"/>
          <w:b w:val="false"/>
          <w:i w:val="false"/>
          <w:color w:val="000000"/>
          <w:sz w:val="28"/>
        </w:rPr>
        <w:t>
</w:t>
      </w:r>
      <w:r>
        <w:rPr>
          <w:rFonts w:ascii="Times New Roman"/>
          <w:b w:val="false"/>
          <w:i w:val="false"/>
          <w:color w:val="000000"/>
          <w:sz w:val="28"/>
        </w:rPr>
        <w:t>
      21. К процедуре проверки ЭЦП в квитанции в основном режиме предъявляются следующие требования:</w:t>
      </w:r>
      <w:r>
        <w:br/>
      </w:r>
      <w:r>
        <w:rPr>
          <w:rFonts w:ascii="Times New Roman"/>
          <w:b w:val="false"/>
          <w:i w:val="false"/>
          <w:color w:val="000000"/>
          <w:sz w:val="28"/>
        </w:rPr>
        <w:t>
      проверка выполняется в соответствии с правилами, указанными в стандарте XAdES (форма XAdES-T);</w:t>
      </w:r>
      <w:r>
        <w:br/>
      </w:r>
      <w:r>
        <w:rPr>
          <w:rFonts w:ascii="Times New Roman"/>
          <w:b w:val="false"/>
          <w:i w:val="false"/>
          <w:color w:val="000000"/>
          <w:sz w:val="28"/>
        </w:rPr>
        <w:t>
      проверка ЭЦП в квитанции в основном режиме включает в себя проверку целостности электронного документа.</w:t>
      </w:r>
      <w:r>
        <w:br/>
      </w:r>
      <w:r>
        <w:rPr>
          <w:rFonts w:ascii="Times New Roman"/>
          <w:b w:val="false"/>
          <w:i w:val="false"/>
          <w:color w:val="000000"/>
          <w:sz w:val="28"/>
        </w:rPr>
        <w:t>
      Под проверкой целостности электронного документа понимается процедура формирования хэша содержимого электронного документа в соответствии с требованиями </w:t>
      </w:r>
      <w:r>
        <w:rPr>
          <w:rFonts w:ascii="Times New Roman"/>
          <w:b w:val="false"/>
          <w:i w:val="false"/>
          <w:color w:val="000000"/>
          <w:sz w:val="28"/>
        </w:rPr>
        <w:t>пункта 17</w:t>
      </w:r>
      <w:r>
        <w:rPr>
          <w:rFonts w:ascii="Times New Roman"/>
          <w:b w:val="false"/>
          <w:i w:val="false"/>
          <w:color w:val="000000"/>
          <w:sz w:val="28"/>
        </w:rPr>
        <w:t xml:space="preserve"> настоящего документа, а также с правилами обработки элементов типа ds:Reference согласно правилам стандарта XMLDsig, и сверка сформированного хэша со значением, указанным в элементе ds:Signature/ds:Object/ds:Manifest/ds:Reference/ds:DigestValue ЭЦП квитанции.</w:t>
      </w:r>
      <w:r>
        <w:br/>
      </w:r>
      <w:r>
        <w:rPr>
          <w:rFonts w:ascii="Times New Roman"/>
          <w:b w:val="false"/>
          <w:i w:val="false"/>
          <w:color w:val="000000"/>
          <w:sz w:val="28"/>
        </w:rPr>
        <w:t>
      В случае если хэш содержимого электронного документа не соответствует значению, указанному в составе элемента ds:Signature/ds:Object/ds:Manifest/ds:Reference/ds:DigestValue ЭЦП квитанции, целостность электронного документа считается нарушенной, а процедура проверки ЭЦП в квитанции – завершенной с ошибкой.</w:t>
      </w:r>
      <w:r>
        <w:br/>
      </w:r>
      <w:r>
        <w:rPr>
          <w:rFonts w:ascii="Times New Roman"/>
          <w:b w:val="false"/>
          <w:i w:val="false"/>
          <w:color w:val="000000"/>
          <w:sz w:val="28"/>
        </w:rPr>
        <w:t>
</w:t>
      </w:r>
      <w:r>
        <w:rPr>
          <w:rFonts w:ascii="Times New Roman"/>
          <w:b w:val="false"/>
          <w:i w:val="false"/>
          <w:color w:val="000000"/>
          <w:sz w:val="28"/>
        </w:rPr>
        <w:t>
      22. Проверка ЭЦП в квитанции в служебном режиме выполняется в целях проверки целостности и подлинности квитанции в условиях, когда квитанция хранится отдельно от электронного документа, на который она сформирована. При этом проверка целостности электронного документа, на который сформирована квитанция, не выполняется.</w:t>
      </w:r>
      <w:r>
        <w:br/>
      </w:r>
      <w:r>
        <w:rPr>
          <w:rFonts w:ascii="Times New Roman"/>
          <w:b w:val="false"/>
          <w:i w:val="false"/>
          <w:color w:val="000000"/>
          <w:sz w:val="28"/>
        </w:rPr>
        <w:t>
      Служебный режим проверки ЭЦП в квитанции может использоваться в операциях, связанных с архивным хранением квитанций доверенной третьей стороной, включая периодическую проверку целостности и подлинности квитанций, заверение квитанций дополнительными ЭЦП для продления срока архивного хранения и т. д.</w:t>
      </w:r>
      <w:r>
        <w:br/>
      </w:r>
      <w:r>
        <w:rPr>
          <w:rFonts w:ascii="Times New Roman"/>
          <w:b w:val="false"/>
          <w:i w:val="false"/>
          <w:color w:val="000000"/>
          <w:sz w:val="28"/>
        </w:rPr>
        <w:t>
</w:t>
      </w:r>
      <w:r>
        <w:rPr>
          <w:rFonts w:ascii="Times New Roman"/>
          <w:b w:val="false"/>
          <w:i w:val="false"/>
          <w:color w:val="000000"/>
          <w:sz w:val="28"/>
        </w:rPr>
        <w:t>
      23. К процедуре проверки ЭЦП в квитанции предъявляются следующие требования:</w:t>
      </w:r>
      <w:r>
        <w:br/>
      </w:r>
      <w:r>
        <w:rPr>
          <w:rFonts w:ascii="Times New Roman"/>
          <w:b w:val="false"/>
          <w:i w:val="false"/>
          <w:color w:val="000000"/>
          <w:sz w:val="28"/>
        </w:rPr>
        <w:t>
      а) проверка выполняется в соответствии с правилами, указанными в стандарте XAdES (форма XAdES-T);</w:t>
      </w:r>
      <w:r>
        <w:br/>
      </w:r>
      <w:r>
        <w:rPr>
          <w:rFonts w:ascii="Times New Roman"/>
          <w:b w:val="false"/>
          <w:i w:val="false"/>
          <w:color w:val="000000"/>
          <w:sz w:val="28"/>
        </w:rPr>
        <w:t>
      б) элемент ds:Signature/ds:Object/ds:Manifest/ds:Reference ЭЦП квитанции при проверке не обрабатывается.</w:t>
      </w:r>
    </w:p>
    <w:bookmarkEnd w:id="41"/>
    <w:bookmarkStart w:name="z196" w:id="42"/>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к Положению об обмене электронными</w:t>
      </w:r>
      <w:r>
        <w:br/>
      </w:r>
      <w:r>
        <w:rPr>
          <w:rFonts w:ascii="Times New Roman"/>
          <w:b w:val="false"/>
          <w:i w:val="false"/>
          <w:color w:val="000000"/>
          <w:sz w:val="28"/>
        </w:rPr>
        <w:t xml:space="preserve">
документами при трансграничном  </w:t>
      </w:r>
      <w:r>
        <w:br/>
      </w:r>
      <w:r>
        <w:rPr>
          <w:rFonts w:ascii="Times New Roman"/>
          <w:b w:val="false"/>
          <w:i w:val="false"/>
          <w:color w:val="000000"/>
          <w:sz w:val="28"/>
        </w:rPr>
        <w:t>
взаимодействии органов государственной</w:t>
      </w:r>
      <w:r>
        <w:br/>
      </w:r>
      <w:r>
        <w:rPr>
          <w:rFonts w:ascii="Times New Roman"/>
          <w:b w:val="false"/>
          <w:i w:val="false"/>
          <w:color w:val="000000"/>
          <w:sz w:val="28"/>
        </w:rPr>
        <w:t>
власти государств – членов Евразийского</w:t>
      </w:r>
      <w:r>
        <w:br/>
      </w:r>
      <w:r>
        <w:rPr>
          <w:rFonts w:ascii="Times New Roman"/>
          <w:b w:val="false"/>
          <w:i w:val="false"/>
          <w:color w:val="000000"/>
          <w:sz w:val="28"/>
        </w:rPr>
        <w:t xml:space="preserve">
экономического союза между собой и </w:t>
      </w:r>
      <w:r>
        <w:br/>
      </w:r>
      <w:r>
        <w:rPr>
          <w:rFonts w:ascii="Times New Roman"/>
          <w:b w:val="false"/>
          <w:i w:val="false"/>
          <w:color w:val="000000"/>
          <w:sz w:val="28"/>
        </w:rPr>
        <w:t>
с Евразийской экономической комиссией</w:t>
      </w:r>
    </w:p>
    <w:bookmarkEnd w:id="42"/>
    <w:bookmarkStart w:name="z197" w:id="43"/>
    <w:p>
      <w:pPr>
        <w:spacing w:after="0"/>
        <w:ind w:left="0"/>
        <w:jc w:val="both"/>
      </w:pPr>
      <w:r>
        <w:rPr>
          <w:rFonts w:ascii="Times New Roman"/>
          <w:b w:val="false"/>
          <w:i w:val="false"/>
          <w:color w:val="000000"/>
          <w:sz w:val="28"/>
        </w:rPr>
        <w:t>
</w:t>
      </w:r>
      <w:r>
        <w:rPr>
          <w:rFonts w:ascii="Times New Roman"/>
          <w:b/>
          <w:i w:val="false"/>
          <w:color w:val="000000"/>
          <w:sz w:val="28"/>
        </w:rPr>
        <w:t>                         СХЕМА ДАННЫХ</w:t>
      </w:r>
      <w:r>
        <w:br/>
      </w:r>
      <w:r>
        <w:rPr>
          <w:rFonts w:ascii="Times New Roman"/>
          <w:b w:val="false"/>
          <w:i w:val="false"/>
          <w:color w:val="000000"/>
          <w:sz w:val="28"/>
        </w:rPr>
        <w:t>
                  </w:t>
      </w:r>
      <w:r>
        <w:rPr>
          <w:rFonts w:ascii="Times New Roman"/>
          <w:b/>
          <w:i w:val="false"/>
          <w:color w:val="000000"/>
          <w:sz w:val="28"/>
        </w:rPr>
        <w:t>основных реквизитов квитанции</w:t>
      </w:r>
    </w:p>
    <w:bookmarkEnd w:id="43"/>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&lt;?xml version="1.0" encoding="UTF-8"?&gt;</w:t>
            </w:r>
            <w:r>
              <w:br/>
            </w:r>
            <w:r>
              <w:rPr>
                <w:rFonts w:ascii="Times New Roman"/>
                <w:b w:val="false"/>
                <w:i w:val="false"/>
                <w:color w:val="000000"/>
                <w:sz w:val="20"/>
              </w:rPr>
              <w:t>
</w:t>
            </w:r>
            <w:r>
              <w:rPr>
                <w:rFonts w:ascii="Times New Roman"/>
                <w:b w:val="false"/>
                <w:i w:val="false"/>
                <w:color w:val="000000"/>
                <w:sz w:val="20"/>
              </w:rPr>
              <w:t>&lt;xs:schema xmlns:xs="http://www.w3.org/2001/XMLSchema" xmlns:rcpt="urn:EEC:TTP:v1.0:receipt" targetNamespace="urn:EEC:TTP:v1.0:receipt" elementFormDefault="qualified" attributeFormDefault="unqualified"&gt;</w:t>
            </w:r>
            <w:r>
              <w:br/>
            </w:r>
            <w:r>
              <w:rPr>
                <w:rFonts w:ascii="Times New Roman"/>
                <w:b w:val="false"/>
                <w:i w:val="false"/>
                <w:color w:val="000000"/>
                <w:sz w:val="20"/>
              </w:rPr>
              <w:t>
</w:t>
            </w:r>
            <w:r>
              <w:rPr>
                <w:rFonts w:ascii="Times New Roman"/>
                <w:b w:val="false"/>
                <w:i w:val="false"/>
                <w:color w:val="000000"/>
                <w:sz w:val="20"/>
              </w:rPr>
              <w:t>   &lt;xs:element name="Receipt" type="rcpt:ReceiptType"&gt;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&lt;xs:documentation&gt;Блок основных реквизитов квитанции&lt;/xs:documentation&gt;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&lt;xs:complexType name="ReceiptType"&gt;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&lt;xs:documentation&gt;Тип блока основных реквизитов квитанции&lt;/xs:documentation&gt;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&lt;xs:element name="ReceiptId" type="xs:anyURI"&gt;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&lt;xs:documentation&gt;Уникальный идентификатор сформированной квитанции&lt;/xs:documentation&gt;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&lt;xs:element name="DocId" type="xs:anyURI"&gt;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&lt;xs:documentation&gt;Идентификатор электронного документа&lt;/xs:documentation&gt;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&lt;xs:element name="Report"&gt;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&lt;xs:documentation&gt;Блок сведений о результатах проверки&lt;/xs:documentation&gt;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&lt;xs:choice maxOccurs="unbounded"&gt;</w:t>
            </w:r>
            <w:r>
              <w:br/>
            </w:r>
            <w:r>
              <w:rPr>
                <w:rFonts w:ascii="Times New Roman"/>
                <w:b w:val="false"/>
                <w:i w:val="false"/>
                <w:color w:val="000000"/>
                <w:sz w:val="20"/>
              </w:rPr>
              <w:t>
</w:t>
            </w:r>
            <w:r>
              <w:rPr>
                <w:rFonts w:ascii="Times New Roman"/>
                <w:b w:val="false"/>
                <w:i w:val="false"/>
                <w:color w:val="000000"/>
                <w:sz w:val="20"/>
              </w:rPr>
              <w:t>                  &lt;xs:element name="Success" type="rcpt:SuccessType"/&gt;</w:t>
            </w:r>
            <w:r>
              <w:br/>
            </w:r>
            <w:r>
              <w:rPr>
                <w:rFonts w:ascii="Times New Roman"/>
                <w:b w:val="false"/>
                <w:i w:val="false"/>
                <w:color w:val="000000"/>
                <w:sz w:val="20"/>
              </w:rPr>
              <w:t>
</w:t>
            </w:r>
            <w:r>
              <w:rPr>
                <w:rFonts w:ascii="Times New Roman"/>
                <w:b w:val="false"/>
                <w:i w:val="false"/>
                <w:color w:val="000000"/>
                <w:sz w:val="20"/>
              </w:rPr>
              <w:t>                  &lt;xs:element name="Error" type="rcpt:ErrorType"/&gt;</w:t>
            </w:r>
            <w:r>
              <w:br/>
            </w:r>
            <w:r>
              <w:rPr>
                <w:rFonts w:ascii="Times New Roman"/>
                <w:b w:val="false"/>
                <w:i w:val="false"/>
                <w:color w:val="000000"/>
                <w:sz w:val="20"/>
              </w:rPr>
              <w:t>
</w:t>
            </w:r>
            <w:r>
              <w:rPr>
                <w:rFonts w:ascii="Times New Roman"/>
                <w:b w:val="false"/>
                <w:i w:val="false"/>
                <w:color w:val="000000"/>
                <w:sz w:val="20"/>
              </w:rPr>
              <w:t>               &lt;/xs:choice&gt;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&lt;xs:element name="AttachedData" minOccurs="0"&gt;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&lt;xs:documentation&gt;Блок дополнительных сведений в формате XML&lt;/xs:documentation&gt;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&lt;xs:any namespace="##any" processContents="lax" maxOccurs="unbounded"/&gt;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&lt;xs:attribute name="Id" type="xs:ID" use="required"/&gt;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&lt;xs:complexType name="BaseReportType"&gt;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&lt;xs:documentation&gt;Базовый тип элемента-отчета о проверке&lt;/xs:documentation&gt;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&lt;xs:attribute name="Reference" type="xs:anyURI" use="optional"/&gt;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&lt;xs:complexType name="SuccessType"&gt;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&lt;xs:documentation&gt;Тип элемента, указывающего, что проверка ДТС выполнена успешно&lt;/xs:documentation&gt;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&lt;xs:complexContent&gt;</w:t>
            </w:r>
            <w:r>
              <w:br/>
            </w:r>
            <w:r>
              <w:rPr>
                <w:rFonts w:ascii="Times New Roman"/>
                <w:b w:val="false"/>
                <w:i w:val="false"/>
                <w:color w:val="000000"/>
                <w:sz w:val="20"/>
              </w:rPr>
              <w:t>
</w:t>
            </w:r>
            <w:r>
              <w:rPr>
                <w:rFonts w:ascii="Times New Roman"/>
                <w:b w:val="false"/>
                <w:i w:val="false"/>
                <w:color w:val="000000"/>
                <w:sz w:val="20"/>
              </w:rPr>
              <w:t>         &lt;xs:extension base="rcpt:BaseReportType"/&gt;</w:t>
            </w:r>
            <w:r>
              <w:br/>
            </w:r>
            <w:r>
              <w:rPr>
                <w:rFonts w:ascii="Times New Roman"/>
                <w:b w:val="false"/>
                <w:i w:val="false"/>
                <w:color w:val="000000"/>
                <w:sz w:val="20"/>
              </w:rPr>
              <w:t>
</w:t>
            </w:r>
            <w:r>
              <w:rPr>
                <w:rFonts w:ascii="Times New Roman"/>
                <w:b w:val="false"/>
                <w:i w:val="false"/>
                <w:color w:val="000000"/>
                <w:sz w:val="20"/>
              </w:rPr>
              <w:t>      &lt;/xs:complexContent&gt;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   &lt;xs:complexType name="ErrorType"&gt;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&lt;xs:documentation&gt;Тип контейнера описания ошибки&lt;/xs:documentation&gt;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&lt;xs:complexContent&gt;</w:t>
            </w:r>
            <w:r>
              <w:br/>
            </w:r>
            <w:r>
              <w:rPr>
                <w:rFonts w:ascii="Times New Roman"/>
                <w:b w:val="false"/>
                <w:i w:val="false"/>
                <w:color w:val="000000"/>
                <w:sz w:val="20"/>
              </w:rPr>
              <w:t>
</w:t>
            </w:r>
            <w:r>
              <w:rPr>
                <w:rFonts w:ascii="Times New Roman"/>
                <w:b w:val="false"/>
                <w:i w:val="false"/>
                <w:color w:val="000000"/>
                <w:sz w:val="20"/>
              </w:rPr>
              <w:t>         &lt;xs:extension base="rcpt:BaseReportType"&gt;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&lt;xs:element name="ReasonCode"&gt;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&lt;xs:documentation&gt;Код ошибки&lt;/xs:documentation&gt;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&lt;xs:simpleType&gt;</w:t>
            </w:r>
            <w:r>
              <w:br/>
            </w:r>
            <w:r>
              <w:rPr>
                <w:rFonts w:ascii="Times New Roman"/>
                <w:b w:val="false"/>
                <w:i w:val="false"/>
                <w:color w:val="000000"/>
                <w:sz w:val="20"/>
              </w:rPr>
              <w:t>
</w:t>
            </w:r>
            <w:r>
              <w:rPr>
                <w:rFonts w:ascii="Times New Roman"/>
                <w:b w:val="false"/>
                <w:i w:val="false"/>
                <w:color w:val="000000"/>
                <w:sz w:val="20"/>
              </w:rPr>
              <w:t>                     &lt;xs:restriction base="xs:string"&gt;</w:t>
            </w:r>
            <w:r>
              <w:br/>
            </w:r>
            <w:r>
              <w:rPr>
                <w:rFonts w:ascii="Times New Roman"/>
                <w:b w:val="false"/>
                <w:i w:val="false"/>
                <w:color w:val="000000"/>
                <w:sz w:val="20"/>
              </w:rPr>
              <w:t>
</w:t>
            </w:r>
            <w:r>
              <w:rPr>
                <w:rFonts w:ascii="Times New Roman"/>
                <w:b w:val="false"/>
                <w:i w:val="false"/>
                <w:color w:val="000000"/>
                <w:sz w:val="20"/>
              </w:rPr>
              <w:t>                        &lt;xs:enumeration value="Signature.Error"/&gt;</w:t>
            </w:r>
            <w:r>
              <w:br/>
            </w:r>
            <w:r>
              <w:rPr>
                <w:rFonts w:ascii="Times New Roman"/>
                <w:b w:val="false"/>
                <w:i w:val="false"/>
                <w:color w:val="000000"/>
                <w:sz w:val="20"/>
              </w:rPr>
              <w:t>
</w:t>
            </w:r>
            <w:r>
              <w:rPr>
                <w:rFonts w:ascii="Times New Roman"/>
                <w:b w:val="false"/>
                <w:i w:val="false"/>
                <w:color w:val="000000"/>
                <w:sz w:val="20"/>
              </w:rPr>
              <w:t>                        &lt;xs:enumeration value="Signature.BadCertificate"/&gt;</w:t>
            </w:r>
            <w:r>
              <w:br/>
            </w:r>
            <w:r>
              <w:rPr>
                <w:rFonts w:ascii="Times New Roman"/>
                <w:b w:val="false"/>
                <w:i w:val="false"/>
                <w:color w:val="000000"/>
                <w:sz w:val="20"/>
              </w:rPr>
              <w:t>
</w:t>
            </w:r>
            <w:r>
              <w:rPr>
                <w:rFonts w:ascii="Times New Roman"/>
                <w:b w:val="false"/>
                <w:i w:val="false"/>
                <w:color w:val="000000"/>
                <w:sz w:val="20"/>
              </w:rPr>
              <w:t>                        &lt;xs:enumeration value="Document.AuthenticityError"/&gt;</w:t>
            </w:r>
            <w:r>
              <w:br/>
            </w:r>
            <w:r>
              <w:rPr>
                <w:rFonts w:ascii="Times New Roman"/>
                <w:b w:val="false"/>
                <w:i w:val="false"/>
                <w:color w:val="000000"/>
                <w:sz w:val="20"/>
              </w:rPr>
              <w:t>
</w:t>
            </w:r>
            <w:r>
              <w:rPr>
                <w:rFonts w:ascii="Times New Roman"/>
                <w:b w:val="false"/>
                <w:i w:val="false"/>
                <w:color w:val="000000"/>
                <w:sz w:val="20"/>
              </w:rPr>
              <w:t>                     &lt;/xs:restriction&gt;</w:t>
            </w:r>
            <w:r>
              <w:br/>
            </w:r>
            <w:r>
              <w:rPr>
                <w:rFonts w:ascii="Times New Roman"/>
                <w:b w:val="false"/>
                <w:i w:val="false"/>
                <w:color w:val="000000"/>
                <w:sz w:val="20"/>
              </w:rPr>
              <w:t>
</w:t>
            </w:r>
            <w:r>
              <w:rPr>
                <w:rFonts w:ascii="Times New Roman"/>
                <w:b w:val="false"/>
                <w:i w:val="false"/>
                <w:color w:val="000000"/>
                <w:sz w:val="20"/>
              </w:rPr>
              <w:t>                  &lt;/xs:simpleType&gt;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&lt;xs:element name="ReasonText" type="xs:string" &gt;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&lt;xs:documentation&gt;Текстовое описание ошибки&lt;/xs:documentation&gt;</w:t>
            </w:r>
            <w:r>
              <w:br/>
            </w:r>
            <w:r>
              <w:rPr>
                <w:rFonts w:ascii="Times New Roman"/>
                <w:b w:val="false"/>
                <w:i w:val="false"/>
                <w:color w:val="000000"/>
                <w:sz w:val="20"/>
              </w:rPr>
              <w:t>
</w:t>
            </w:r>
            <w:r>
              <w:rPr>
                <w:rFonts w:ascii="Times New Roman"/>
                <w:b w:val="false"/>
                <w:i w:val="false"/>
                <w:color w:val="000000"/>
                <w:sz w:val="20"/>
              </w:rPr>
              <w:t>                  &lt;/xs:annotation&gt;</w:t>
            </w:r>
            <w:r>
              <w:br/>
            </w:r>
            <w:r>
              <w:rPr>
                <w:rFonts w:ascii="Times New Roman"/>
                <w:b w:val="false"/>
                <w:i w:val="false"/>
                <w:color w:val="000000"/>
                <w:sz w:val="20"/>
              </w:rPr>
              <w:t>
</w:t>
            </w:r>
            <w:r>
              <w:rPr>
                <w:rFonts w:ascii="Times New Roman"/>
                <w:b w:val="false"/>
                <w:i w:val="false"/>
                <w:color w:val="000000"/>
                <w:sz w:val="20"/>
              </w:rPr>
              <w:t>               &lt;/xs:element&gt;</w:t>
            </w:r>
            <w:r>
              <w:br/>
            </w:r>
            <w:r>
              <w:rPr>
                <w:rFonts w:ascii="Times New Roman"/>
                <w:b w:val="false"/>
                <w:i w:val="false"/>
                <w:color w:val="000000"/>
                <w:sz w:val="20"/>
              </w:rPr>
              <w:t>
</w:t>
            </w:r>
            <w:r>
              <w:rPr>
                <w:rFonts w:ascii="Times New Roman"/>
                <w:b w:val="false"/>
                <w:i w:val="false"/>
                <w:color w:val="000000"/>
                <w:sz w:val="20"/>
              </w:rPr>
              <w:t>            &lt;/xs:sequence&gt;</w:t>
            </w:r>
            <w:r>
              <w:br/>
            </w:r>
            <w:r>
              <w:rPr>
                <w:rFonts w:ascii="Times New Roman"/>
                <w:b w:val="false"/>
                <w:i w:val="false"/>
                <w:color w:val="000000"/>
                <w:sz w:val="20"/>
              </w:rPr>
              <w:t>
</w:t>
            </w:r>
            <w:r>
              <w:rPr>
                <w:rFonts w:ascii="Times New Roman"/>
                <w:b w:val="false"/>
                <w:i w:val="false"/>
                <w:color w:val="000000"/>
                <w:sz w:val="20"/>
              </w:rPr>
              <w:t>         &lt;/xs:extension&gt;</w:t>
            </w:r>
            <w:r>
              <w:br/>
            </w:r>
            <w:r>
              <w:rPr>
                <w:rFonts w:ascii="Times New Roman"/>
                <w:b w:val="false"/>
                <w:i w:val="false"/>
                <w:color w:val="000000"/>
                <w:sz w:val="20"/>
              </w:rPr>
              <w:t>
</w:t>
            </w:r>
            <w:r>
              <w:rPr>
                <w:rFonts w:ascii="Times New Roman"/>
                <w:b w:val="false"/>
                <w:i w:val="false"/>
                <w:color w:val="000000"/>
                <w:sz w:val="20"/>
              </w:rPr>
              <w:t>      &lt;/xs:complexContent&gt;</w:t>
            </w:r>
            <w:r>
              <w:br/>
            </w:r>
            <w:r>
              <w:rPr>
                <w:rFonts w:ascii="Times New Roman"/>
                <w:b w:val="false"/>
                <w:i w:val="false"/>
                <w:color w:val="000000"/>
                <w:sz w:val="20"/>
              </w:rPr>
              <w:t>
</w:t>
            </w:r>
            <w:r>
              <w:rPr>
                <w:rFonts w:ascii="Times New Roman"/>
                <w:b w:val="false"/>
                <w:i w:val="false"/>
                <w:color w:val="000000"/>
                <w:sz w:val="20"/>
              </w:rPr>
              <w:t>   &lt;/xs:complexType&gt;</w:t>
            </w:r>
            <w:r>
              <w:br/>
            </w:r>
            <w:r>
              <w:rPr>
                <w:rFonts w:ascii="Times New Roman"/>
                <w:b w:val="false"/>
                <w:i w:val="false"/>
                <w:color w:val="000000"/>
                <w:sz w:val="20"/>
              </w:rPr>
              <w:t>
</w:t>
            </w:r>
            <w:r>
              <w:rPr>
                <w:rFonts w:ascii="Times New Roman"/>
                <w:b w:val="false"/>
                <w:i w:val="false"/>
                <w:color w:val="000000"/>
                <w:sz w:val="20"/>
              </w:rPr>
              <w:t>&lt;/xs:schema&gt;</w:t>
            </w:r>
          </w:p>
        </w:tc>
      </w:tr>
    </w:tbl>
    <w:bookmarkStart w:name="z198" w:id="44"/>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к Положению об обмене электронными</w:t>
      </w:r>
      <w:r>
        <w:br/>
      </w:r>
      <w:r>
        <w:rPr>
          <w:rFonts w:ascii="Times New Roman"/>
          <w:b w:val="false"/>
          <w:i w:val="false"/>
          <w:color w:val="000000"/>
          <w:sz w:val="28"/>
        </w:rPr>
        <w:t xml:space="preserve">
документами при трансграничном  </w:t>
      </w:r>
      <w:r>
        <w:br/>
      </w:r>
      <w:r>
        <w:rPr>
          <w:rFonts w:ascii="Times New Roman"/>
          <w:b w:val="false"/>
          <w:i w:val="false"/>
          <w:color w:val="000000"/>
          <w:sz w:val="28"/>
        </w:rPr>
        <w:t>
взаимодействии органов государственной</w:t>
      </w:r>
      <w:r>
        <w:br/>
      </w:r>
      <w:r>
        <w:rPr>
          <w:rFonts w:ascii="Times New Roman"/>
          <w:b w:val="false"/>
          <w:i w:val="false"/>
          <w:color w:val="000000"/>
          <w:sz w:val="28"/>
        </w:rPr>
        <w:t>
власти государств – членов Евразийского</w:t>
      </w:r>
      <w:r>
        <w:br/>
      </w:r>
      <w:r>
        <w:rPr>
          <w:rFonts w:ascii="Times New Roman"/>
          <w:b w:val="false"/>
          <w:i w:val="false"/>
          <w:color w:val="000000"/>
          <w:sz w:val="28"/>
        </w:rPr>
        <w:t xml:space="preserve">
экономического союза между собой и </w:t>
      </w:r>
      <w:r>
        <w:br/>
      </w:r>
      <w:r>
        <w:rPr>
          <w:rFonts w:ascii="Times New Roman"/>
          <w:b w:val="false"/>
          <w:i w:val="false"/>
          <w:color w:val="000000"/>
          <w:sz w:val="28"/>
        </w:rPr>
        <w:t>
с Евразийской экономической комиссией</w:t>
      </w:r>
    </w:p>
    <w:bookmarkEnd w:id="44"/>
    <w:bookmarkStart w:name="z199" w:id="45"/>
    <w:p>
      <w:pPr>
        <w:spacing w:after="0"/>
        <w:ind w:left="0"/>
        <w:jc w:val="left"/>
      </w:pPr>
      <w:r>
        <w:rPr>
          <w:rFonts w:ascii="Times New Roman"/>
          <w:b/>
          <w:i w:val="false"/>
          <w:color w:val="000000"/>
        </w:rPr>
        <w:t xml:space="preserve"> 
ОПИСАНИЕ</w:t>
      </w:r>
      <w:r>
        <w:br/>
      </w:r>
      <w:r>
        <w:rPr>
          <w:rFonts w:ascii="Times New Roman"/>
          <w:b/>
          <w:i w:val="false"/>
          <w:color w:val="000000"/>
        </w:rPr>
        <w:t>
сообщений, используемых при взаимодействии </w:t>
      </w:r>
      <w:r>
        <w:br/>
      </w:r>
      <w:r>
        <w:rPr>
          <w:rFonts w:ascii="Times New Roman"/>
          <w:b/>
          <w:i w:val="false"/>
          <w:color w:val="000000"/>
        </w:rPr>
        <w:t>
с доверенной третьей стороной</w:t>
      </w:r>
    </w:p>
    <w:bookmarkEnd w:id="45"/>
    <w:bookmarkStart w:name="z200" w:id="46"/>
    <w:p>
      <w:pPr>
        <w:spacing w:after="0"/>
        <w:ind w:left="0"/>
        <w:jc w:val="both"/>
      </w:pPr>
      <w:r>
        <w:rPr>
          <w:rFonts w:ascii="Times New Roman"/>
          <w:b w:val="false"/>
          <w:i w:val="false"/>
          <w:color w:val="000000"/>
          <w:sz w:val="28"/>
        </w:rPr>
        <w:t>
      1. Сообщения, которыми обмениваются доверенная третья сторона и интеграционный шлюз интегрированной информационной системы внешней и взаимной торговли (создаваемой на основе расширения ее функциональных возможностей интегрированной информационной системы Евразийского экономического союза) (далее – интегрированная система), формируются в соответствии с Правилами электронного обмена данными в интегрированной информационной системе внешней и взаимной торговли, утвержденными Решением Коллегии Евразийской экономической комиссии от 27 января 2015 г. № 5 (далее – Правила электронного обмена данными).</w:t>
      </w:r>
      <w:r>
        <w:br/>
      </w:r>
      <w:r>
        <w:rPr>
          <w:rFonts w:ascii="Times New Roman"/>
          <w:b w:val="false"/>
          <w:i w:val="false"/>
          <w:color w:val="000000"/>
          <w:sz w:val="28"/>
        </w:rPr>
        <w:t>
      Все сообщения относятся к классу служебных сообщений интегрированной системы.</w:t>
      </w:r>
      <w:r>
        <w:br/>
      </w:r>
      <w:r>
        <w:rPr>
          <w:rFonts w:ascii="Times New Roman"/>
          <w:b w:val="false"/>
          <w:i w:val="false"/>
          <w:color w:val="000000"/>
          <w:sz w:val="28"/>
        </w:rPr>
        <w:t>
</w:t>
      </w:r>
      <w:r>
        <w:rPr>
          <w:rFonts w:ascii="Times New Roman"/>
          <w:b w:val="false"/>
          <w:i w:val="false"/>
          <w:color w:val="000000"/>
          <w:sz w:val="28"/>
        </w:rPr>
        <w:t>
      2. При описании сообщений используются пространства имен, перечень которых приведен в таблице.</w:t>
      </w:r>
    </w:p>
    <w:bookmarkEnd w:id="46"/>
    <w:p>
      <w:pPr>
        <w:spacing w:after="0"/>
        <w:ind w:left="0"/>
        <w:jc w:val="both"/>
      </w:pPr>
      <w:r>
        <w:rPr>
          <w:rFonts w:ascii="Times New Roman"/>
          <w:b/>
          <w:i w:val="false"/>
          <w:color w:val="000000"/>
          <w:sz w:val="28"/>
        </w:rPr>
        <w:t>               Перечень пространств имен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0653"/>
      </w:tblGrid>
      <w:tr>
        <w:trPr>
          <w:trHeight w:val="48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r>
      <w:tr>
        <w:trPr>
          <w:trHeight w:val="54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ttp</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urn:EEC:TTP:v1.0</w:t>
            </w:r>
          </w:p>
        </w:tc>
      </w:tr>
      <w:tr>
        <w:trPr>
          <w:trHeight w:val="54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soap</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Правилами электронного обмена данными </w:t>
            </w:r>
          </w:p>
        </w:tc>
      </w:tr>
      <w:tr>
        <w:trPr>
          <w:trHeight w:val="54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wsa</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Правилами электронного обмена данными </w:t>
            </w:r>
          </w:p>
        </w:tc>
      </w:tr>
    </w:tbl>
    <w:bookmarkStart w:name="z202" w:id="47"/>
    <w:p>
      <w:pPr>
        <w:spacing w:after="0"/>
        <w:ind w:left="0"/>
        <w:jc w:val="both"/>
      </w:pPr>
      <w:r>
        <w:rPr>
          <w:rFonts w:ascii="Times New Roman"/>
          <w:b w:val="false"/>
          <w:i w:val="false"/>
          <w:color w:val="000000"/>
          <w:sz w:val="28"/>
        </w:rPr>
        <w:t>
      3. К сообщениям, поступающим доверенной третьей стороне, предъявляются следующие общие требования:</w:t>
      </w:r>
      <w:r>
        <w:br/>
      </w:r>
      <w:r>
        <w:rPr>
          <w:rFonts w:ascii="Times New Roman"/>
          <w:b w:val="false"/>
          <w:i w:val="false"/>
          <w:color w:val="000000"/>
          <w:sz w:val="28"/>
        </w:rPr>
        <w:t>
      а) элемент заголовка wsa:To должен содержать логический адрес сервиса доверенной третьей стороны, обеспечивающего проверки, предусмотренные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 (далее соответственно – сервис подтверждения подлинности, Положение). Логический адрес присваивается сервису подтверждения подлинности организацией – оператором интеграционного шлюза соответствующего сегмента интегрированной системы;</w:t>
      </w:r>
      <w:r>
        <w:br/>
      </w:r>
      <w:r>
        <w:rPr>
          <w:rFonts w:ascii="Times New Roman"/>
          <w:b w:val="false"/>
          <w:i w:val="false"/>
          <w:color w:val="000000"/>
          <w:sz w:val="28"/>
        </w:rPr>
        <w:t>
      б) элемент заголовка wsa:ReplyTo/wsa:Address должен содержать логический адрес интерфейса интеграционного шлюза, обеспечивающего обработку сообщений от сервиса подтверждения подлинности;</w:t>
      </w:r>
      <w:r>
        <w:br/>
      </w:r>
      <w:r>
        <w:rPr>
          <w:rFonts w:ascii="Times New Roman"/>
          <w:b w:val="false"/>
          <w:i w:val="false"/>
          <w:color w:val="000000"/>
          <w:sz w:val="28"/>
        </w:rPr>
        <w:t>
      в) элемент заголовка wsa:Action должен содержать одно из следующих значений:</w:t>
      </w:r>
      <w:r>
        <w:br/>
      </w:r>
      <w:r>
        <w:rPr>
          <w:rFonts w:ascii="Times New Roman"/>
          <w:b w:val="false"/>
          <w:i w:val="false"/>
          <w:color w:val="000000"/>
          <w:sz w:val="28"/>
        </w:rPr>
        <w:t>
      int://SR/TTP/Sender/Incoming – если сообщение направлено доверенной третьей стороне отправителя;</w:t>
      </w:r>
      <w:r>
        <w:br/>
      </w:r>
      <w:r>
        <w:rPr>
          <w:rFonts w:ascii="Times New Roman"/>
          <w:b w:val="false"/>
          <w:i w:val="false"/>
          <w:color w:val="000000"/>
          <w:sz w:val="28"/>
        </w:rPr>
        <w:t>
      int://SR/TTP/Recipient/Incoming – если сообщение направлено доверенной третьей стороне получателя;</w:t>
      </w:r>
      <w:r>
        <w:br/>
      </w:r>
      <w:r>
        <w:rPr>
          <w:rFonts w:ascii="Times New Roman"/>
          <w:b w:val="false"/>
          <w:i w:val="false"/>
          <w:color w:val="000000"/>
          <w:sz w:val="28"/>
        </w:rPr>
        <w:t>
      г) в тело (soap:Body) включается электронный документ, полученный от отправителя.</w:t>
      </w:r>
      <w:r>
        <w:br/>
      </w:r>
      <w:r>
        <w:rPr>
          <w:rFonts w:ascii="Times New Roman"/>
          <w:b w:val="false"/>
          <w:i w:val="false"/>
          <w:color w:val="000000"/>
          <w:sz w:val="28"/>
        </w:rPr>
        <w:t>
</w:t>
      </w:r>
      <w:r>
        <w:rPr>
          <w:rFonts w:ascii="Times New Roman"/>
          <w:b w:val="false"/>
          <w:i w:val="false"/>
          <w:color w:val="000000"/>
          <w:sz w:val="28"/>
        </w:rPr>
        <w:t>
      4. В зависимости от результатов обработки входящего сообщения доверенная третья сторона направляет в интеграционный шлюз следующие сообщения:</w:t>
      </w:r>
      <w:r>
        <w:br/>
      </w:r>
      <w:r>
        <w:rPr>
          <w:rFonts w:ascii="Times New Roman"/>
          <w:b w:val="false"/>
          <w:i w:val="false"/>
          <w:color w:val="000000"/>
          <w:sz w:val="28"/>
        </w:rPr>
        <w:t>
      а) сообщение, в котором электронный документ дополнен квитанцией доверенной третьей стороны (ответное сообщение), – в случае штатной работы сервиса подтверждения подлинности;</w:t>
      </w:r>
      <w:r>
        <w:br/>
      </w:r>
      <w:r>
        <w:rPr>
          <w:rFonts w:ascii="Times New Roman"/>
          <w:b w:val="false"/>
          <w:i w:val="false"/>
          <w:color w:val="000000"/>
          <w:sz w:val="28"/>
        </w:rPr>
        <w:t>
      б) технологическое сообщение об ошибке – в случае возникновения ошибки обработки сообщения и (или) электронного документа на уровне доверенной третьей стороны.</w:t>
      </w:r>
      <w:r>
        <w:br/>
      </w:r>
      <w:r>
        <w:rPr>
          <w:rFonts w:ascii="Times New Roman"/>
          <w:b w:val="false"/>
          <w:i w:val="false"/>
          <w:color w:val="000000"/>
          <w:sz w:val="28"/>
        </w:rPr>
        <w:t>
</w:t>
      </w:r>
      <w:r>
        <w:rPr>
          <w:rFonts w:ascii="Times New Roman"/>
          <w:b w:val="false"/>
          <w:i w:val="false"/>
          <w:color w:val="000000"/>
          <w:sz w:val="28"/>
        </w:rPr>
        <w:t>
      5. К ответному сообщению предъявляются следующие требования:</w:t>
      </w:r>
      <w:r>
        <w:br/>
      </w:r>
      <w:r>
        <w:rPr>
          <w:rFonts w:ascii="Times New Roman"/>
          <w:b w:val="false"/>
          <w:i w:val="false"/>
          <w:color w:val="000000"/>
          <w:sz w:val="28"/>
        </w:rPr>
        <w:t>
      а) элемент заголовка wsa:To должен содержать значение элемента wsa:ReplyTo/wsa:Address входящего сообщения;</w:t>
      </w:r>
      <w:r>
        <w:br/>
      </w:r>
      <w:r>
        <w:rPr>
          <w:rFonts w:ascii="Times New Roman"/>
          <w:b w:val="false"/>
          <w:i w:val="false"/>
          <w:color w:val="000000"/>
          <w:sz w:val="28"/>
        </w:rPr>
        <w:t>
      б) элемент заголовка wsa:From/wsa:Address должен содержать логический адрес сервиса подтверждения подлинности, присвоенный ему организацией – оператором интеграционного шлюза;</w:t>
      </w:r>
      <w:r>
        <w:br/>
      </w:r>
      <w:r>
        <w:rPr>
          <w:rFonts w:ascii="Times New Roman"/>
          <w:b w:val="false"/>
          <w:i w:val="false"/>
          <w:color w:val="000000"/>
          <w:sz w:val="28"/>
        </w:rPr>
        <w:t>
      в) элемент заголовка wsa:RelatesTo должен содержать значение элемента wsa:MessageId входящего сообщения;</w:t>
      </w:r>
      <w:r>
        <w:br/>
      </w:r>
      <w:r>
        <w:rPr>
          <w:rFonts w:ascii="Times New Roman"/>
          <w:b w:val="false"/>
          <w:i w:val="false"/>
          <w:color w:val="000000"/>
          <w:sz w:val="28"/>
        </w:rPr>
        <w:t>
      г) элемент заголовка wsa:Action должен содержать одно из следующих значений:</w:t>
      </w:r>
      <w:r>
        <w:br/>
      </w:r>
      <w:r>
        <w:rPr>
          <w:rFonts w:ascii="Times New Roman"/>
          <w:b w:val="false"/>
          <w:i w:val="false"/>
          <w:color w:val="000000"/>
          <w:sz w:val="28"/>
        </w:rPr>
        <w:t>
      int://SR/TTP/Sender/Outgoing – если сообщение направлено доверенной третьей стороной отправителя;</w:t>
      </w:r>
      <w:r>
        <w:br/>
      </w:r>
      <w:r>
        <w:rPr>
          <w:rFonts w:ascii="Times New Roman"/>
          <w:b w:val="false"/>
          <w:i w:val="false"/>
          <w:color w:val="000000"/>
          <w:sz w:val="28"/>
        </w:rPr>
        <w:t>
      int://SR/TTP/Recipient/Outgoing – если сообщение направлено доверенной третьей стороной получателя;</w:t>
      </w:r>
      <w:r>
        <w:br/>
      </w:r>
      <w:r>
        <w:rPr>
          <w:rFonts w:ascii="Times New Roman"/>
          <w:b w:val="false"/>
          <w:i w:val="false"/>
          <w:color w:val="000000"/>
          <w:sz w:val="28"/>
        </w:rPr>
        <w:t>
      д) в тело (soap:Body) включаются электронный документ и квитанция доверенной третьей стороны.</w:t>
      </w:r>
      <w:r>
        <w:br/>
      </w:r>
      <w:r>
        <w:rPr>
          <w:rFonts w:ascii="Times New Roman"/>
          <w:b w:val="false"/>
          <w:i w:val="false"/>
          <w:color w:val="000000"/>
          <w:sz w:val="28"/>
        </w:rPr>
        <w:t>
</w:t>
      </w:r>
      <w:r>
        <w:rPr>
          <w:rFonts w:ascii="Times New Roman"/>
          <w:b w:val="false"/>
          <w:i w:val="false"/>
          <w:color w:val="000000"/>
          <w:sz w:val="28"/>
        </w:rPr>
        <w:t>
      6. К технологическому сообщению об ошибке предъявляются следующие требования:</w:t>
      </w:r>
      <w:r>
        <w:br/>
      </w:r>
      <w:r>
        <w:rPr>
          <w:rFonts w:ascii="Times New Roman"/>
          <w:b w:val="false"/>
          <w:i w:val="false"/>
          <w:color w:val="000000"/>
          <w:sz w:val="28"/>
        </w:rPr>
        <w:t>
      а) элемент заголовка wsa:To должен содержать значение элемента wsa:ReplyTo/wsa:Address входящего сообщения;</w:t>
      </w:r>
      <w:r>
        <w:br/>
      </w:r>
      <w:r>
        <w:rPr>
          <w:rFonts w:ascii="Times New Roman"/>
          <w:b w:val="false"/>
          <w:i w:val="false"/>
          <w:color w:val="000000"/>
          <w:sz w:val="28"/>
        </w:rPr>
        <w:t>
      б) элемент заголовка wsa:From/wsa:Address должен содержать логический адрес сервиса подтверждения подлинности, присвоенный ему организацией – оператором интеграционного шлюза;</w:t>
      </w:r>
      <w:r>
        <w:br/>
      </w:r>
      <w:r>
        <w:rPr>
          <w:rFonts w:ascii="Times New Roman"/>
          <w:b w:val="false"/>
          <w:i w:val="false"/>
          <w:color w:val="000000"/>
          <w:sz w:val="28"/>
        </w:rPr>
        <w:t>
      в) в случае если технологическое сообщение об ошибке свидетельствует о возникновении одной из типовых ошибок, предусмотренных Правилами электронного обмена данными, элементам soap:Code/soap:Value и soap:Subсode/soap:Value должны быть присвоены значения, определенные Правилами электронного обмена данными;</w:t>
      </w:r>
      <w:r>
        <w:br/>
      </w:r>
      <w:r>
        <w:rPr>
          <w:rFonts w:ascii="Times New Roman"/>
          <w:b w:val="false"/>
          <w:i w:val="false"/>
          <w:color w:val="000000"/>
          <w:sz w:val="28"/>
        </w:rPr>
        <w:t>
      г) в случае если технологическое сообщение об ошибке свидетельствует о несоответствии структуры тела сообщения требованиям, предъявляемым к входящим сообщениям, элементу soap:Code/soap:Value должно быть присвоено значение «soap:Sender», а элементу soap:Subсode/soap:Value – значение «ttp:InvalidAppData»;</w:t>
      </w:r>
      <w:r>
        <w:br/>
      </w:r>
      <w:r>
        <w:rPr>
          <w:rFonts w:ascii="Times New Roman"/>
          <w:b w:val="false"/>
          <w:i w:val="false"/>
          <w:color w:val="000000"/>
          <w:sz w:val="28"/>
        </w:rPr>
        <w:t>
      д) элемент тела сообщения soap:Fault/soap:Detail должен содержать SOAP-конверт вместе с содержимым тела и заголовками входящего сообщения, оформленный в соответствии с Правилами электронного обмена данными.</w:t>
      </w:r>
    </w:p>
    <w:bookmarkEnd w:id="47"/>
    <w:bookmarkStart w:name="z206" w:id="48"/>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к Положению об обмене электронными</w:t>
      </w:r>
      <w:r>
        <w:br/>
      </w:r>
      <w:r>
        <w:rPr>
          <w:rFonts w:ascii="Times New Roman"/>
          <w:b w:val="false"/>
          <w:i w:val="false"/>
          <w:color w:val="000000"/>
          <w:sz w:val="28"/>
        </w:rPr>
        <w:t xml:space="preserve">
документами при трансграничном  </w:t>
      </w:r>
      <w:r>
        <w:br/>
      </w:r>
      <w:r>
        <w:rPr>
          <w:rFonts w:ascii="Times New Roman"/>
          <w:b w:val="false"/>
          <w:i w:val="false"/>
          <w:color w:val="000000"/>
          <w:sz w:val="28"/>
        </w:rPr>
        <w:t>
взаимодействии органов государственной</w:t>
      </w:r>
      <w:r>
        <w:br/>
      </w:r>
      <w:r>
        <w:rPr>
          <w:rFonts w:ascii="Times New Roman"/>
          <w:b w:val="false"/>
          <w:i w:val="false"/>
          <w:color w:val="000000"/>
          <w:sz w:val="28"/>
        </w:rPr>
        <w:t>
власти государств – членов Евразийского</w:t>
      </w:r>
      <w:r>
        <w:br/>
      </w:r>
      <w:r>
        <w:rPr>
          <w:rFonts w:ascii="Times New Roman"/>
          <w:b w:val="false"/>
          <w:i w:val="false"/>
          <w:color w:val="000000"/>
          <w:sz w:val="28"/>
        </w:rPr>
        <w:t xml:space="preserve">
экономического союза между собой и </w:t>
      </w:r>
      <w:r>
        <w:br/>
      </w:r>
      <w:r>
        <w:rPr>
          <w:rFonts w:ascii="Times New Roman"/>
          <w:b w:val="false"/>
          <w:i w:val="false"/>
          <w:color w:val="000000"/>
          <w:sz w:val="28"/>
        </w:rPr>
        <w:t>
с Евразийской экономической комиссией</w:t>
      </w:r>
    </w:p>
    <w:bookmarkEnd w:id="48"/>
    <w:bookmarkStart w:name="z207" w:id="49"/>
    <w:p>
      <w:pPr>
        <w:spacing w:after="0"/>
        <w:ind w:left="0"/>
        <w:jc w:val="left"/>
      </w:pPr>
      <w:r>
        <w:rPr>
          <w:rFonts w:ascii="Times New Roman"/>
          <w:b/>
          <w:i w:val="false"/>
          <w:color w:val="000000"/>
        </w:rPr>
        <w:t xml:space="preserve"> 
ОПИСАНИЕ</w:t>
      </w:r>
      <w:r>
        <w:br/>
      </w:r>
      <w:r>
        <w:rPr>
          <w:rFonts w:ascii="Times New Roman"/>
          <w:b/>
          <w:i w:val="false"/>
          <w:color w:val="000000"/>
        </w:rPr>
        <w:t>
типового протокола электронного обмена данными между</w:t>
      </w:r>
      <w:r>
        <w:br/>
      </w:r>
      <w:r>
        <w:rPr>
          <w:rFonts w:ascii="Times New Roman"/>
          <w:b/>
          <w:i w:val="false"/>
          <w:color w:val="000000"/>
        </w:rPr>
        <w:t>
интеграционным шлюзом интегрированной информационной системы</w:t>
      </w:r>
      <w:r>
        <w:br/>
      </w:r>
      <w:r>
        <w:rPr>
          <w:rFonts w:ascii="Times New Roman"/>
          <w:b/>
          <w:i w:val="false"/>
          <w:color w:val="000000"/>
        </w:rPr>
        <w:t>
внешней и взаимной торговли и сервисами доверенной третьей</w:t>
      </w:r>
      <w:r>
        <w:br/>
      </w:r>
      <w:r>
        <w:rPr>
          <w:rFonts w:ascii="Times New Roman"/>
          <w:b/>
          <w:i w:val="false"/>
          <w:color w:val="000000"/>
        </w:rPr>
        <w:t>
стороны на транспортном уровне</w:t>
      </w:r>
    </w:p>
    <w:bookmarkEnd w:id="49"/>
    <w:bookmarkStart w:name="z208" w:id="50"/>
    <w:p>
      <w:pPr>
        <w:spacing w:after="0"/>
        <w:ind w:left="0"/>
        <w:jc w:val="both"/>
      </w:pPr>
      <w:r>
        <w:rPr>
          <w:rFonts w:ascii="Times New Roman"/>
          <w:b w:val="false"/>
          <w:i w:val="false"/>
          <w:color w:val="000000"/>
          <w:sz w:val="28"/>
        </w:rPr>
        <w:t>
      1. Настоящий документ описывает типовой протокол электронного обмена данными между интеграционным шлюзом интегрированной информационной системы внешней и взаимной торговли (создаваемой на основе расширения ее функциональных возможностей интегрированной информационной системы Евразийского экономического союза) и сервисами доверенной третьей стороны (далее соответственно – интегрированная система, участники обмена) посредством промежуточного программного обеспечения, предоставляющего средства для организации очередей сообщений (далее – программное обеспечение MQ).</w:t>
      </w:r>
      <w:r>
        <w:br/>
      </w:r>
      <w:r>
        <w:rPr>
          <w:rFonts w:ascii="Times New Roman"/>
          <w:b w:val="false"/>
          <w:i w:val="false"/>
          <w:color w:val="000000"/>
          <w:sz w:val="28"/>
        </w:rPr>
        <w:t>
</w:t>
      </w:r>
      <w:r>
        <w:rPr>
          <w:rFonts w:ascii="Times New Roman"/>
          <w:b w:val="false"/>
          <w:i w:val="false"/>
          <w:color w:val="000000"/>
          <w:sz w:val="28"/>
        </w:rPr>
        <w:t>
      2. При организации электронного обмена данными между участниками обмена в национальных сегментах интегрированной системы допускается реализация электронного обмена данными через веб-сервисы или иными способами организации электронного обмена данными (альтернативные способы).</w:t>
      </w:r>
      <w:r>
        <w:br/>
      </w:r>
      <w:r>
        <w:rPr>
          <w:rFonts w:ascii="Times New Roman"/>
          <w:b w:val="false"/>
          <w:i w:val="false"/>
          <w:color w:val="000000"/>
          <w:sz w:val="28"/>
        </w:rPr>
        <w:t>
</w:t>
      </w:r>
      <w:r>
        <w:rPr>
          <w:rFonts w:ascii="Times New Roman"/>
          <w:b w:val="false"/>
          <w:i w:val="false"/>
          <w:color w:val="000000"/>
          <w:sz w:val="28"/>
        </w:rPr>
        <w:t>
      3. Реализация альтернативных способов организации электронного обмена данными настоящим документом не регулируется. При использовании альтернативных способов организации электронного обмена данными в рамках национального сегмента интегрированной системы государство – член Евразийского экономического союза (далее – государство-член) обеспечивает разработку нормативно-технологического документа (документов), описывающего протокол электронного обмена данными между интеграционным шлюзом интегрированной системы и сервисами доверенной третьей стороны национального сегмента государства-члена.</w:t>
      </w:r>
      <w:r>
        <w:br/>
      </w:r>
      <w:r>
        <w:rPr>
          <w:rFonts w:ascii="Times New Roman"/>
          <w:b w:val="false"/>
          <w:i w:val="false"/>
          <w:color w:val="000000"/>
          <w:sz w:val="28"/>
        </w:rPr>
        <w:t>
</w:t>
      </w:r>
      <w:r>
        <w:rPr>
          <w:rFonts w:ascii="Times New Roman"/>
          <w:b w:val="false"/>
          <w:i w:val="false"/>
          <w:color w:val="000000"/>
          <w:sz w:val="28"/>
        </w:rPr>
        <w:t>
      4. Канал передачи данных между участниками обмена должен быть защищен от несанкционированного доступа. Способы и порядок защиты канала передачи данных определяются нормативными правовыми актами и техническими документами государств-членов и Евразийской экономической комиссии, устанавливающими требования к защите информации при электронном обмене данными.</w:t>
      </w:r>
      <w:r>
        <w:br/>
      </w:r>
      <w:r>
        <w:rPr>
          <w:rFonts w:ascii="Times New Roman"/>
          <w:b w:val="false"/>
          <w:i w:val="false"/>
          <w:color w:val="000000"/>
          <w:sz w:val="28"/>
        </w:rPr>
        <w:t>
</w:t>
      </w:r>
      <w:r>
        <w:rPr>
          <w:rFonts w:ascii="Times New Roman"/>
          <w:b w:val="false"/>
          <w:i w:val="false"/>
          <w:color w:val="000000"/>
          <w:sz w:val="28"/>
        </w:rPr>
        <w:t>
      5. Понятия, используемые в настоящем документе, означают следующее:</w:t>
      </w:r>
      <w:r>
        <w:br/>
      </w:r>
      <w:r>
        <w:rPr>
          <w:rFonts w:ascii="Times New Roman"/>
          <w:b w:val="false"/>
          <w:i w:val="false"/>
          <w:color w:val="000000"/>
          <w:sz w:val="28"/>
        </w:rPr>
        <w:t>
      «API» (Application programming interface) – набор готовых классов, процедур, функций, структур и констант, предоставляемых приложением (библиотекой, сервисом) для использования во внешних программных продуктах;</w:t>
      </w:r>
      <w:r>
        <w:br/>
      </w:r>
      <w:r>
        <w:rPr>
          <w:rFonts w:ascii="Times New Roman"/>
          <w:b w:val="false"/>
          <w:i w:val="false"/>
          <w:color w:val="000000"/>
          <w:sz w:val="28"/>
        </w:rPr>
        <w:t>
      «MIME» (Multipurpose Internet mail extensions) – спецификация для кодирования и форматирования информации для ее передачи внутри текстовых данных;</w:t>
      </w:r>
      <w:r>
        <w:br/>
      </w:r>
      <w:r>
        <w:rPr>
          <w:rFonts w:ascii="Times New Roman"/>
          <w:b w:val="false"/>
          <w:i w:val="false"/>
          <w:color w:val="000000"/>
          <w:sz w:val="28"/>
        </w:rPr>
        <w:t>
      «MQMD» (Message queuing message descriptor) – заголовок транспортного сообщения, содержащий основные реквизиты транспортного сообщения;</w:t>
      </w:r>
      <w:r>
        <w:br/>
      </w:r>
      <w:r>
        <w:rPr>
          <w:rFonts w:ascii="Times New Roman"/>
          <w:b w:val="false"/>
          <w:i w:val="false"/>
          <w:color w:val="000000"/>
          <w:sz w:val="28"/>
        </w:rPr>
        <w:t>
      «MQRFH2» – заголовок транспортного сообщения, содержащий дополнительные реквизиты транспортного сообщения;</w:t>
      </w:r>
      <w:r>
        <w:br/>
      </w:r>
      <w:r>
        <w:rPr>
          <w:rFonts w:ascii="Times New Roman"/>
          <w:b w:val="false"/>
          <w:i w:val="false"/>
          <w:color w:val="000000"/>
          <w:sz w:val="28"/>
        </w:rPr>
        <w:t>
      «менеджер очередей» – программный компонент, предоставляющий сервисы очередей сообщений посредством API;</w:t>
      </w:r>
      <w:r>
        <w:br/>
      </w:r>
      <w:r>
        <w:rPr>
          <w:rFonts w:ascii="Times New Roman"/>
          <w:b w:val="false"/>
          <w:i w:val="false"/>
          <w:color w:val="000000"/>
          <w:sz w:val="28"/>
        </w:rPr>
        <w:t>
      «очередь» – именованное хранилище сообщений, управляемое посредством менеджера очередей;</w:t>
      </w:r>
      <w:r>
        <w:br/>
      </w:r>
      <w:r>
        <w:rPr>
          <w:rFonts w:ascii="Times New Roman"/>
          <w:b w:val="false"/>
          <w:i w:val="false"/>
          <w:color w:val="000000"/>
          <w:sz w:val="28"/>
        </w:rPr>
        <w:t>
      «транспортное сообщение» – совокупность элементов информации, оформленных в соответствии с требованиями транспортного протокола.</w:t>
      </w:r>
      <w:r>
        <w:br/>
      </w:r>
      <w:r>
        <w:rPr>
          <w:rFonts w:ascii="Times New Roman"/>
          <w:b w:val="false"/>
          <w:i w:val="false"/>
          <w:color w:val="000000"/>
          <w:sz w:val="28"/>
        </w:rPr>
        <w:t>
</w:t>
      </w:r>
      <w:r>
        <w:rPr>
          <w:rFonts w:ascii="Times New Roman"/>
          <w:b w:val="false"/>
          <w:i w:val="false"/>
          <w:color w:val="000000"/>
          <w:sz w:val="28"/>
        </w:rPr>
        <w:t>
      6. При реализации типового протокола электронного обмена данными допускается использование любого из имеющихся программных интерфейсов к программному обеспечению MQ (MQI, AMI, JMS и т. д.).</w:t>
      </w:r>
      <w:r>
        <w:br/>
      </w:r>
      <w:r>
        <w:rPr>
          <w:rFonts w:ascii="Times New Roman"/>
          <w:b w:val="false"/>
          <w:i w:val="false"/>
          <w:color w:val="000000"/>
          <w:sz w:val="28"/>
        </w:rPr>
        <w:t>
      В настоящем документе для обозначения служебных структур и констант программного обеспечения MQ используются наименования, соответствующие программному интерфейсу MQI. При использовании других программных интерфейсов названия структур и констант могут отличаться.</w:t>
      </w:r>
      <w:r>
        <w:br/>
      </w:r>
      <w:r>
        <w:rPr>
          <w:rFonts w:ascii="Times New Roman"/>
          <w:b w:val="false"/>
          <w:i w:val="false"/>
          <w:color w:val="000000"/>
          <w:sz w:val="28"/>
        </w:rPr>
        <w:t>
</w:t>
      </w:r>
      <w:r>
        <w:rPr>
          <w:rFonts w:ascii="Times New Roman"/>
          <w:b w:val="false"/>
          <w:i w:val="false"/>
          <w:color w:val="000000"/>
          <w:sz w:val="28"/>
        </w:rPr>
        <w:t>
      7. На транспортном уровне участниками обмена выполняется обмен транспортными сообщениями в формате программного обеспечения MQ.</w:t>
      </w:r>
      <w:r>
        <w:br/>
      </w:r>
      <w:r>
        <w:rPr>
          <w:rFonts w:ascii="Times New Roman"/>
          <w:b w:val="false"/>
          <w:i w:val="false"/>
          <w:color w:val="000000"/>
          <w:sz w:val="28"/>
        </w:rPr>
        <w:t>
</w:t>
      </w:r>
      <w:r>
        <w:rPr>
          <w:rFonts w:ascii="Times New Roman"/>
          <w:b w:val="false"/>
          <w:i w:val="false"/>
          <w:color w:val="000000"/>
          <w:sz w:val="28"/>
        </w:rPr>
        <w:t>
      8. Для транспортного сообщения установлен предельный размер 100 Мб.</w:t>
      </w:r>
      <w:r>
        <w:br/>
      </w:r>
      <w:r>
        <w:rPr>
          <w:rFonts w:ascii="Times New Roman"/>
          <w:b w:val="false"/>
          <w:i w:val="false"/>
          <w:color w:val="000000"/>
          <w:sz w:val="28"/>
        </w:rPr>
        <w:t>
</w:t>
      </w:r>
      <w:r>
        <w:rPr>
          <w:rFonts w:ascii="Times New Roman"/>
          <w:b w:val="false"/>
          <w:i w:val="false"/>
          <w:color w:val="000000"/>
          <w:sz w:val="28"/>
        </w:rPr>
        <w:t>
      9. Требования к заполнению полей заголовка MQMD приведены в таблице.</w:t>
      </w:r>
    </w:p>
    <w:bookmarkEnd w:id="50"/>
    <w:p>
      <w:pPr>
        <w:spacing w:after="0"/>
        <w:ind w:left="0"/>
        <w:jc w:val="both"/>
      </w:pPr>
      <w:r>
        <w:rPr>
          <w:rFonts w:ascii="Times New Roman"/>
          <w:b/>
          <w:i w:val="false"/>
          <w:color w:val="000000"/>
          <w:sz w:val="28"/>
        </w:rPr>
        <w:t>                 Значения полей заголовка MQMD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7037"/>
        <w:gridCol w:w="4468"/>
      </w:tblGrid>
      <w:tr>
        <w:trPr>
          <w:trHeight w:val="60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поля</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w:t>
            </w:r>
          </w:p>
        </w:tc>
      </w:tr>
      <w:tr>
        <w:trPr>
          <w:trHeight w:val="525"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MQMD_VERSION_2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только вторая версия заголовков</w:t>
            </w:r>
          </w:p>
        </w:tc>
      </w:tr>
      <w:tr>
        <w:trPr>
          <w:trHeight w:val="435"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MsgType</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MQMT_DATAGRAM</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осуществляется только дейтаграммами</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Expiry</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на истечение срока доставки </w:t>
            </w:r>
            <w:r>
              <w:rPr>
                <w:rFonts w:ascii="Times New Roman"/>
                <w:b w:val="false"/>
                <w:i w:val="false"/>
                <w:color w:val="000000"/>
                <w:sz w:val="20"/>
              </w:rPr>
              <w:t>сообщения – 4 часа</w:t>
            </w:r>
          </w:p>
        </w:tc>
      </w:tr>
      <w:tr>
        <w:trPr>
          <w:trHeight w:val="42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Persistence</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MQPER_PERSISTENT</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 режим гарантированной доставки</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Report</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MQRO_EXPIRATION_WITH_FULL_DATA</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запрашивается уведомление об истечении срока доставки сообщения</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ReplyToQ</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очереди получения ответов</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для сообщений-запросов</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ReplyToQmgr</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менеджера для получения ответов</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для сообщений-запросов</w:t>
            </w:r>
          </w:p>
        </w:tc>
      </w:tr>
    </w:tbl>
    <w:bookmarkStart w:name="z217" w:id="51"/>
    <w:p>
      <w:pPr>
        <w:spacing w:after="0"/>
        <w:ind w:left="0"/>
        <w:jc w:val="both"/>
      </w:pPr>
      <w:r>
        <w:rPr>
          <w:rFonts w:ascii="Times New Roman"/>
          <w:b w:val="false"/>
          <w:i w:val="false"/>
          <w:color w:val="000000"/>
          <w:sz w:val="28"/>
        </w:rPr>
        <w:t>      Поля MQMD, не указанные в таблице, при заполнении должны иметь значения по умолчанию (используются значения из структуры MQMD_DEFAULT).</w:t>
      </w:r>
      <w:r>
        <w:br/>
      </w:r>
      <w:r>
        <w:rPr>
          <w:rFonts w:ascii="Times New Roman"/>
          <w:b w:val="false"/>
          <w:i w:val="false"/>
          <w:color w:val="000000"/>
          <w:sz w:val="28"/>
        </w:rPr>
        <w:t>
      10. В случае если данные, передаваемые посредством транспортных сообщений, представлены в формате MIME-сообщения, для идентификации наличия двоичного вложения в группе заголовков MQRFH2 в папке &lt;usr&gt; должен присутствовать заголовок contentType, который должен иметь строковое значение «Multipart/Related; boundary=&lt;идентификатор границы MIME-блока&gt;;».</w:t>
      </w:r>
      <w:r>
        <w:br/>
      </w:r>
      <w:r>
        <w:rPr>
          <w:rFonts w:ascii="Times New Roman"/>
          <w:b w:val="false"/>
          <w:i w:val="false"/>
          <w:color w:val="000000"/>
          <w:sz w:val="28"/>
        </w:rPr>
        <w:t>
</w:t>
      </w:r>
      <w:r>
        <w:rPr>
          <w:rFonts w:ascii="Times New Roman"/>
          <w:b w:val="false"/>
          <w:i w:val="false"/>
          <w:color w:val="000000"/>
          <w:sz w:val="28"/>
        </w:rPr>
        <w:t>
      11. В случае если данные, передаваемые посредством транспортных сообщений, представлены в виде SOAP-сообщения, в группе заголовков MQRFH2 в папке &lt;usr&gt; должен присутствовать заголовок contentType, который должен иметь строковое значение «application/soap+xml».</w:t>
      </w:r>
    </w:p>
    <w:bookmarkEnd w:id="51"/>
    <w:bookmarkStart w:name="z219" w:id="52"/>
    <w:p>
      <w:pPr>
        <w:spacing w:after="0"/>
        <w:ind w:left="0"/>
        <w:jc w:val="both"/>
      </w:pPr>
      <w:r>
        <w:rPr>
          <w:rFonts w:ascii="Times New Roman"/>
          <w:b w:val="false"/>
          <w:i w:val="false"/>
          <w:color w:val="000000"/>
          <w:sz w:val="28"/>
        </w:rPr>
        <w:t xml:space="preserve">
ПРИЛОЖЕНИЕ № 7         </w:t>
      </w:r>
      <w:r>
        <w:br/>
      </w:r>
      <w:r>
        <w:rPr>
          <w:rFonts w:ascii="Times New Roman"/>
          <w:b w:val="false"/>
          <w:i w:val="false"/>
          <w:color w:val="000000"/>
          <w:sz w:val="28"/>
        </w:rPr>
        <w:t>
к Положению об обмене электронными</w:t>
      </w:r>
      <w:r>
        <w:br/>
      </w:r>
      <w:r>
        <w:rPr>
          <w:rFonts w:ascii="Times New Roman"/>
          <w:b w:val="false"/>
          <w:i w:val="false"/>
          <w:color w:val="000000"/>
          <w:sz w:val="28"/>
        </w:rPr>
        <w:t xml:space="preserve">
документами при трансграничном  </w:t>
      </w:r>
      <w:r>
        <w:br/>
      </w:r>
      <w:r>
        <w:rPr>
          <w:rFonts w:ascii="Times New Roman"/>
          <w:b w:val="false"/>
          <w:i w:val="false"/>
          <w:color w:val="000000"/>
          <w:sz w:val="28"/>
        </w:rPr>
        <w:t>
взаимодействии органов государственной</w:t>
      </w:r>
      <w:r>
        <w:br/>
      </w:r>
      <w:r>
        <w:rPr>
          <w:rFonts w:ascii="Times New Roman"/>
          <w:b w:val="false"/>
          <w:i w:val="false"/>
          <w:color w:val="000000"/>
          <w:sz w:val="28"/>
        </w:rPr>
        <w:t>
власти государств – членов Евразийского</w:t>
      </w:r>
      <w:r>
        <w:br/>
      </w:r>
      <w:r>
        <w:rPr>
          <w:rFonts w:ascii="Times New Roman"/>
          <w:b w:val="false"/>
          <w:i w:val="false"/>
          <w:color w:val="000000"/>
          <w:sz w:val="28"/>
        </w:rPr>
        <w:t xml:space="preserve">
экономического союза между собой и </w:t>
      </w:r>
      <w:r>
        <w:br/>
      </w:r>
      <w:r>
        <w:rPr>
          <w:rFonts w:ascii="Times New Roman"/>
          <w:b w:val="false"/>
          <w:i w:val="false"/>
          <w:color w:val="000000"/>
          <w:sz w:val="28"/>
        </w:rPr>
        <w:t>
с Евразийской экономической комиссией</w:t>
      </w:r>
    </w:p>
    <w:bookmarkEnd w:id="52"/>
    <w:bookmarkStart w:name="z220" w:id="53"/>
    <w:p>
      <w:pPr>
        <w:spacing w:after="0"/>
        <w:ind w:left="0"/>
        <w:jc w:val="both"/>
      </w:pPr>
      <w:r>
        <w:rPr>
          <w:rFonts w:ascii="Times New Roman"/>
          <w:b w:val="false"/>
          <w:i w:val="false"/>
          <w:color w:val="000000"/>
          <w:sz w:val="28"/>
        </w:rPr>
        <w:t>
</w:t>
      </w:r>
      <w:r>
        <w:rPr>
          <w:rFonts w:ascii="Times New Roman"/>
          <w:b/>
          <w:i w:val="false"/>
          <w:color w:val="000000"/>
          <w:sz w:val="28"/>
        </w:rPr>
        <w:t>                             ОБРАЗЕЦ</w:t>
      </w:r>
      <w:r>
        <w:br/>
      </w:r>
      <w:r>
        <w:rPr>
          <w:rFonts w:ascii="Times New Roman"/>
          <w:b w:val="false"/>
          <w:i w:val="false"/>
          <w:color w:val="000000"/>
          <w:sz w:val="28"/>
        </w:rPr>
        <w:t>
 </w:t>
      </w:r>
      <w:r>
        <w:rPr>
          <w:rFonts w:ascii="Times New Roman"/>
          <w:b/>
          <w:i w:val="false"/>
          <w:color w:val="000000"/>
          <w:sz w:val="28"/>
        </w:rPr>
        <w:t>заполнения квитанции доверенной третьей стороны отправителя</w:t>
      </w:r>
    </w:p>
    <w:bookmarkEnd w:id="53"/>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&lt;ds:Signature Id="TTP.Sender.Receipt1"  xmlns:ds="http://www.w3.org/2000/09/xmldsig#"&gt;</w:t>
            </w:r>
            <w:r>
              <w:br/>
            </w:r>
            <w:r>
              <w:rPr>
                <w:rFonts w:ascii="Times New Roman"/>
                <w:b w:val="false"/>
                <w:i w:val="false"/>
                <w:color w:val="000000"/>
                <w:sz w:val="20"/>
              </w:rPr>
              <w:t>
</w:t>
            </w:r>
            <w:r>
              <w:rPr>
                <w:rFonts w:ascii="Times New Roman"/>
                <w:b w:val="false"/>
                <w:i w:val="false"/>
                <w:color w:val="000000"/>
                <w:sz w:val="20"/>
              </w:rPr>
              <w:t>  &lt;ds:SignedInfo&gt;</w:t>
            </w:r>
            <w:r>
              <w:br/>
            </w:r>
            <w:r>
              <w:rPr>
                <w:rFonts w:ascii="Times New Roman"/>
                <w:b w:val="false"/>
                <w:i w:val="false"/>
                <w:color w:val="000000"/>
                <w:sz w:val="20"/>
              </w:rPr>
              <w:t>
</w:t>
            </w:r>
            <w:r>
              <w:rPr>
                <w:rFonts w:ascii="Times New Roman"/>
                <w:b w:val="false"/>
                <w:i w:val="false"/>
                <w:color w:val="000000"/>
                <w:sz w:val="20"/>
              </w:rPr>
              <w:t>    &lt;ds:CanonicalizationMethod Algorithm="http://www.w3.org/2001/10/xml-exc-c14n#"/&gt;</w:t>
            </w:r>
            <w:r>
              <w:br/>
            </w:r>
            <w:r>
              <w:rPr>
                <w:rFonts w:ascii="Times New Roman"/>
                <w:b w:val="false"/>
                <w:i w:val="false"/>
                <w:color w:val="000000"/>
                <w:sz w:val="20"/>
              </w:rPr>
              <w:t>
</w:t>
            </w:r>
            <w:r>
              <w:rPr>
                <w:rFonts w:ascii="Times New Roman"/>
                <w:b w:val="false"/>
                <w:i w:val="false"/>
                <w:color w:val="000000"/>
                <w:sz w:val="20"/>
              </w:rPr>
              <w:t>    &lt;ds:SignatureMethod Algorithm="[идентификатор алгоритма вычисления значения ЭЦП]"/&gt;</w:t>
            </w:r>
            <w:r>
              <w:br/>
            </w:r>
            <w:r>
              <w:rPr>
                <w:rFonts w:ascii="Times New Roman"/>
                <w:b w:val="false"/>
                <w:i w:val="false"/>
                <w:color w:val="000000"/>
                <w:sz w:val="20"/>
              </w:rPr>
              <w:t>
</w:t>
            </w:r>
            <w:r>
              <w:rPr>
                <w:rFonts w:ascii="Times New Roman"/>
                <w:b w:val="false"/>
                <w:i w:val="false"/>
                <w:color w:val="000000"/>
                <w:sz w:val="20"/>
              </w:rPr>
              <w:t>    &lt;ds:Reference URI="#TTP.Sender.Receipt1Manifest" Type="http://www.w3.org/2000/09/xmldsig#Manifest"&gt;</w:t>
            </w:r>
            <w:r>
              <w:br/>
            </w:r>
            <w:r>
              <w:rPr>
                <w:rFonts w:ascii="Times New Roman"/>
                <w:b w:val="false"/>
                <w:i w:val="false"/>
                <w:color w:val="000000"/>
                <w:sz w:val="20"/>
              </w:rPr>
              <w:t>
</w:t>
            </w:r>
            <w:r>
              <w:rPr>
                <w:rFonts w:ascii="Times New Roman"/>
                <w:b w:val="false"/>
                <w:i w:val="false"/>
                <w:color w:val="000000"/>
                <w:sz w:val="20"/>
              </w:rPr>
              <w:t>      &lt;ds:Transforms&gt;</w:t>
            </w:r>
            <w:r>
              <w:br/>
            </w:r>
            <w:r>
              <w:rPr>
                <w:rFonts w:ascii="Times New Roman"/>
                <w:b w:val="false"/>
                <w:i w:val="false"/>
                <w:color w:val="000000"/>
                <w:sz w:val="20"/>
              </w:rPr>
              <w:t>
</w:t>
            </w:r>
            <w:r>
              <w:rPr>
                <w:rFonts w:ascii="Times New Roman"/>
                <w:b w:val="false"/>
                <w:i w:val="false"/>
                <w:color w:val="000000"/>
                <w:sz w:val="20"/>
              </w:rPr>
              <w:t xml:space="preserve">        &lt;ds:Transform Algorithm="http://www.w3.org/2001/10/xml-exc-c14n#"/&gt;     </w:t>
            </w:r>
            <w:r>
              <w:br/>
            </w:r>
            <w:r>
              <w:rPr>
                <w:rFonts w:ascii="Times New Roman"/>
                <w:b w:val="false"/>
                <w:i w:val="false"/>
                <w:color w:val="000000"/>
                <w:sz w:val="20"/>
              </w:rPr>
              <w:t>
</w:t>
            </w:r>
            <w:r>
              <w:rPr>
                <w:rFonts w:ascii="Times New Roman"/>
                <w:b w:val="false"/>
                <w:i w:val="false"/>
                <w:color w:val="000000"/>
                <w:sz w:val="20"/>
              </w:rPr>
              <w:t>      &lt;/ds:Transforms&gt;</w:t>
            </w:r>
            <w:r>
              <w:br/>
            </w:r>
            <w:r>
              <w:rPr>
                <w:rFonts w:ascii="Times New Roman"/>
                <w:b w:val="false"/>
                <w:i w:val="false"/>
                <w:color w:val="000000"/>
                <w:sz w:val="20"/>
              </w:rPr>
              <w:t>
</w:t>
            </w:r>
            <w:r>
              <w:rPr>
                <w:rFonts w:ascii="Times New Roman"/>
                <w:b w:val="false"/>
                <w:i w:val="false"/>
                <w:color w:val="000000"/>
                <w:sz w:val="20"/>
              </w:rPr>
              <w:t>      &lt;ds:DigestMethod Algorithm="[идентификатор алгоритма вычисления хэш-суммы]"/&gt;</w:t>
            </w:r>
            <w:r>
              <w:br/>
            </w:r>
            <w:r>
              <w:rPr>
                <w:rFonts w:ascii="Times New Roman"/>
                <w:b w:val="false"/>
                <w:i w:val="false"/>
                <w:color w:val="000000"/>
                <w:sz w:val="20"/>
              </w:rPr>
              <w:t>
</w:t>
            </w:r>
            <w:r>
              <w:rPr>
                <w:rFonts w:ascii="Times New Roman"/>
                <w:b w:val="false"/>
                <w:i w:val="false"/>
                <w:color w:val="000000"/>
                <w:sz w:val="20"/>
              </w:rPr>
              <w:t>      &lt;ds:DigestValue&gt;BjBsR09EbGhjZ0dTQUxN……NBRU1tQ1p0dU1GUXhEUzhB&lt;/ds:DigestValue&gt;</w:t>
            </w:r>
            <w:r>
              <w:br/>
            </w:r>
            <w:r>
              <w:rPr>
                <w:rFonts w:ascii="Times New Roman"/>
                <w:b w:val="false"/>
                <w:i w:val="false"/>
                <w:color w:val="000000"/>
                <w:sz w:val="20"/>
              </w:rPr>
              <w:t>
</w:t>
            </w:r>
            <w:r>
              <w:rPr>
                <w:rFonts w:ascii="Times New Roman"/>
                <w:b w:val="false"/>
                <w:i w:val="false"/>
                <w:color w:val="000000"/>
                <w:sz w:val="20"/>
              </w:rPr>
              <w:t>    &lt;/ds:Reference&gt;</w:t>
            </w:r>
            <w:r>
              <w:br/>
            </w:r>
            <w:r>
              <w:rPr>
                <w:rFonts w:ascii="Times New Roman"/>
                <w:b w:val="false"/>
                <w:i w:val="false"/>
                <w:color w:val="000000"/>
                <w:sz w:val="20"/>
              </w:rPr>
              <w:t>
</w:t>
            </w:r>
            <w:r>
              <w:rPr>
                <w:rFonts w:ascii="Times New Roman"/>
                <w:b w:val="false"/>
                <w:i w:val="false"/>
                <w:color w:val="000000"/>
                <w:sz w:val="20"/>
              </w:rPr>
              <w:t>    &lt;ds:Reference URI="#TTP.Sender.Receipt1Details" Type="urn:EEC:TTP:v1.0:receipt:details"&gt;</w:t>
            </w:r>
            <w:r>
              <w:br/>
            </w:r>
            <w:r>
              <w:rPr>
                <w:rFonts w:ascii="Times New Roman"/>
                <w:b w:val="false"/>
                <w:i w:val="false"/>
                <w:color w:val="000000"/>
                <w:sz w:val="20"/>
              </w:rPr>
              <w:t>
</w:t>
            </w:r>
            <w:r>
              <w:rPr>
                <w:rFonts w:ascii="Times New Roman"/>
                <w:b w:val="false"/>
                <w:i w:val="false"/>
                <w:color w:val="000000"/>
                <w:sz w:val="20"/>
              </w:rPr>
              <w:t>      &lt;ds:Transforms&gt;</w:t>
            </w:r>
            <w:r>
              <w:br/>
            </w:r>
            <w:r>
              <w:rPr>
                <w:rFonts w:ascii="Times New Roman"/>
                <w:b w:val="false"/>
                <w:i w:val="false"/>
                <w:color w:val="000000"/>
                <w:sz w:val="20"/>
              </w:rPr>
              <w:t>
</w:t>
            </w:r>
            <w:r>
              <w:rPr>
                <w:rFonts w:ascii="Times New Roman"/>
                <w:b w:val="false"/>
                <w:i w:val="false"/>
                <w:color w:val="000000"/>
                <w:sz w:val="20"/>
              </w:rPr>
              <w:t>        &lt;ds:Transform Algorithm="http://www.w3.org/2001/10/xml-exc-c14n#"/&gt;</w:t>
            </w:r>
            <w:r>
              <w:br/>
            </w:r>
            <w:r>
              <w:rPr>
                <w:rFonts w:ascii="Times New Roman"/>
                <w:b w:val="false"/>
                <w:i w:val="false"/>
                <w:color w:val="000000"/>
                <w:sz w:val="20"/>
              </w:rPr>
              <w:t>
</w:t>
            </w:r>
            <w:r>
              <w:rPr>
                <w:rFonts w:ascii="Times New Roman"/>
                <w:b w:val="false"/>
                <w:i w:val="false"/>
                <w:color w:val="000000"/>
                <w:sz w:val="20"/>
              </w:rPr>
              <w:t>      &lt;/ds:Transforms&gt;</w:t>
            </w:r>
            <w:r>
              <w:br/>
            </w:r>
            <w:r>
              <w:rPr>
                <w:rFonts w:ascii="Times New Roman"/>
                <w:b w:val="false"/>
                <w:i w:val="false"/>
                <w:color w:val="000000"/>
                <w:sz w:val="20"/>
              </w:rPr>
              <w:t>
</w:t>
            </w:r>
            <w:r>
              <w:rPr>
                <w:rFonts w:ascii="Times New Roman"/>
                <w:b w:val="false"/>
                <w:i w:val="false"/>
                <w:color w:val="000000"/>
                <w:sz w:val="20"/>
              </w:rPr>
              <w:t>      &lt;ds:DigestMethod Algorithm="[идентификатор алгоритма вычисления хэш-суммы]"/&gt;</w:t>
            </w:r>
            <w:r>
              <w:br/>
            </w:r>
            <w:r>
              <w:rPr>
                <w:rFonts w:ascii="Times New Roman"/>
                <w:b w:val="false"/>
                <w:i w:val="false"/>
                <w:color w:val="000000"/>
                <w:sz w:val="20"/>
              </w:rPr>
              <w:t>
</w:t>
            </w:r>
            <w:r>
              <w:rPr>
                <w:rFonts w:ascii="Times New Roman"/>
                <w:b w:val="false"/>
                <w:i w:val="false"/>
                <w:color w:val="000000"/>
                <w:sz w:val="20"/>
              </w:rPr>
              <w:t>&lt;ds:DigestValue&gt;UjBsR09EbGhjZ0dTQUxNQUFB…..U1tQ1p0dU1GUXhEUzhi&lt;/ds:DigestValue&gt;</w:t>
            </w:r>
            <w:r>
              <w:br/>
            </w:r>
            <w:r>
              <w:rPr>
                <w:rFonts w:ascii="Times New Roman"/>
                <w:b w:val="false"/>
                <w:i w:val="false"/>
                <w:color w:val="000000"/>
                <w:sz w:val="20"/>
              </w:rPr>
              <w:t>
</w:t>
            </w:r>
            <w:r>
              <w:rPr>
                <w:rFonts w:ascii="Times New Roman"/>
                <w:b w:val="false"/>
                <w:i w:val="false"/>
                <w:color w:val="000000"/>
                <w:sz w:val="20"/>
              </w:rPr>
              <w:t>    &lt;/ds:Reference&gt;</w:t>
            </w:r>
            <w:r>
              <w:br/>
            </w:r>
            <w:r>
              <w:rPr>
                <w:rFonts w:ascii="Times New Roman"/>
                <w:b w:val="false"/>
                <w:i w:val="false"/>
                <w:color w:val="000000"/>
                <w:sz w:val="20"/>
              </w:rPr>
              <w:t>
</w:t>
            </w:r>
            <w:r>
              <w:rPr>
                <w:rFonts w:ascii="Times New Roman"/>
                <w:b w:val="false"/>
                <w:i w:val="false"/>
                <w:color w:val="000000"/>
                <w:sz w:val="20"/>
              </w:rPr>
              <w:t>    &lt;ds:Reference URI="#TTP.Sender.Receipt1SignedProperties" Type="http://uri.etsi.org/01903#SignedProperties"&gt;</w:t>
            </w:r>
            <w:r>
              <w:br/>
            </w:r>
            <w:r>
              <w:rPr>
                <w:rFonts w:ascii="Times New Roman"/>
                <w:b w:val="false"/>
                <w:i w:val="false"/>
                <w:color w:val="000000"/>
                <w:sz w:val="20"/>
              </w:rPr>
              <w:t>
</w:t>
            </w:r>
            <w:r>
              <w:rPr>
                <w:rFonts w:ascii="Times New Roman"/>
                <w:b w:val="false"/>
                <w:i w:val="false"/>
                <w:color w:val="000000"/>
                <w:sz w:val="20"/>
              </w:rPr>
              <w:t>    &lt;ds:Transforms&gt;</w:t>
            </w:r>
            <w:r>
              <w:br/>
            </w:r>
            <w:r>
              <w:rPr>
                <w:rFonts w:ascii="Times New Roman"/>
                <w:b w:val="false"/>
                <w:i w:val="false"/>
                <w:color w:val="000000"/>
                <w:sz w:val="20"/>
              </w:rPr>
              <w:t>
</w:t>
            </w:r>
            <w:r>
              <w:rPr>
                <w:rFonts w:ascii="Times New Roman"/>
                <w:b w:val="false"/>
                <w:i w:val="false"/>
                <w:color w:val="000000"/>
                <w:sz w:val="20"/>
              </w:rPr>
              <w:t>        &lt;ds:Transform Algorithm="http://www.w3.org/2001/10/xml-exc-c14n#"/&gt;</w:t>
            </w:r>
            <w:r>
              <w:br/>
            </w:r>
            <w:r>
              <w:rPr>
                <w:rFonts w:ascii="Times New Roman"/>
                <w:b w:val="false"/>
                <w:i w:val="false"/>
                <w:color w:val="000000"/>
                <w:sz w:val="20"/>
              </w:rPr>
              <w:t>
</w:t>
            </w:r>
            <w:r>
              <w:rPr>
                <w:rFonts w:ascii="Times New Roman"/>
                <w:b w:val="false"/>
                <w:i w:val="false"/>
                <w:color w:val="000000"/>
                <w:sz w:val="20"/>
              </w:rPr>
              <w:t>    &lt;/ds:Transforms&gt;</w:t>
            </w:r>
            <w:r>
              <w:br/>
            </w:r>
            <w:r>
              <w:rPr>
                <w:rFonts w:ascii="Times New Roman"/>
                <w:b w:val="false"/>
                <w:i w:val="false"/>
                <w:color w:val="000000"/>
                <w:sz w:val="20"/>
              </w:rPr>
              <w:t>
</w:t>
            </w:r>
            <w:r>
              <w:rPr>
                <w:rFonts w:ascii="Times New Roman"/>
                <w:b w:val="false"/>
                <w:i w:val="false"/>
                <w:color w:val="000000"/>
                <w:sz w:val="20"/>
              </w:rPr>
              <w:t>      &lt;ds:DigestMethod Algorithm="[идентификатор алгоритма вычисления хэш-суммы]"/&gt;</w:t>
            </w:r>
            <w:r>
              <w:br/>
            </w:r>
            <w:r>
              <w:rPr>
                <w:rFonts w:ascii="Times New Roman"/>
                <w:b w:val="false"/>
                <w:i w:val="false"/>
                <w:color w:val="000000"/>
                <w:sz w:val="20"/>
              </w:rPr>
              <w:t>
</w:t>
            </w:r>
            <w:r>
              <w:rPr>
                <w:rFonts w:ascii="Times New Roman"/>
                <w:b w:val="false"/>
                <w:i w:val="false"/>
                <w:color w:val="000000"/>
                <w:sz w:val="20"/>
              </w:rPr>
              <w:t>      &lt;ds:DigestValue&gt;UjBsR09...UxNQUFBUUNBRU1tQ1p0dU1GUXhEUzhi&lt;/ds:DigestValue&gt;</w:t>
            </w:r>
            <w:r>
              <w:br/>
            </w:r>
            <w:r>
              <w:rPr>
                <w:rFonts w:ascii="Times New Roman"/>
                <w:b w:val="false"/>
                <w:i w:val="false"/>
                <w:color w:val="000000"/>
                <w:sz w:val="20"/>
              </w:rPr>
              <w:t>
</w:t>
            </w:r>
            <w:r>
              <w:rPr>
                <w:rFonts w:ascii="Times New Roman"/>
                <w:b w:val="false"/>
                <w:i w:val="false"/>
                <w:color w:val="000000"/>
                <w:sz w:val="20"/>
              </w:rPr>
              <w:t>    &lt;/ds:Reference&gt;</w:t>
            </w:r>
            <w:r>
              <w:br/>
            </w:r>
            <w:r>
              <w:rPr>
                <w:rFonts w:ascii="Times New Roman"/>
                <w:b w:val="false"/>
                <w:i w:val="false"/>
                <w:color w:val="000000"/>
                <w:sz w:val="20"/>
              </w:rPr>
              <w:t>
</w:t>
            </w:r>
            <w:r>
              <w:rPr>
                <w:rFonts w:ascii="Times New Roman"/>
                <w:b w:val="false"/>
                <w:i w:val="false"/>
                <w:color w:val="000000"/>
                <w:sz w:val="20"/>
              </w:rPr>
              <w:t>  &lt;/ds:SignedInfo&gt;</w:t>
            </w:r>
            <w:r>
              <w:br/>
            </w:r>
            <w:r>
              <w:rPr>
                <w:rFonts w:ascii="Times New Roman"/>
                <w:b w:val="false"/>
                <w:i w:val="false"/>
                <w:color w:val="000000"/>
                <w:sz w:val="20"/>
              </w:rPr>
              <w:t>
</w:t>
            </w:r>
            <w:r>
              <w:rPr>
                <w:rFonts w:ascii="Times New Roman"/>
                <w:b w:val="false"/>
                <w:i w:val="false"/>
                <w:color w:val="000000"/>
                <w:sz w:val="20"/>
              </w:rPr>
              <w:t>  &lt;ds:SignatureValue&gt;UjBsR09EbGhjZ..tQ1p0dU1GUXhEUzhi&lt;/ds:SignatureValue&gt;</w:t>
            </w:r>
            <w:r>
              <w:br/>
            </w:r>
            <w:r>
              <w:rPr>
                <w:rFonts w:ascii="Times New Roman"/>
                <w:b w:val="false"/>
                <w:i w:val="false"/>
                <w:color w:val="000000"/>
                <w:sz w:val="20"/>
              </w:rPr>
              <w:t>
</w:t>
            </w:r>
            <w:r>
              <w:rPr>
                <w:rFonts w:ascii="Times New Roman"/>
                <w:b w:val="false"/>
                <w:i w:val="false"/>
                <w:color w:val="000000"/>
                <w:sz w:val="20"/>
              </w:rPr>
              <w:t>  &lt;ds:KeyInfo&gt;</w:t>
            </w:r>
            <w:r>
              <w:br/>
            </w:r>
            <w:r>
              <w:rPr>
                <w:rFonts w:ascii="Times New Roman"/>
                <w:b w:val="false"/>
                <w:i w:val="false"/>
                <w:color w:val="000000"/>
                <w:sz w:val="20"/>
              </w:rPr>
              <w:t>
</w:t>
            </w:r>
            <w:r>
              <w:rPr>
                <w:rFonts w:ascii="Times New Roman"/>
                <w:b w:val="false"/>
                <w:i w:val="false"/>
                <w:color w:val="000000"/>
                <w:sz w:val="20"/>
              </w:rPr>
              <w:t>    &lt;ds:X509Data&gt;</w:t>
            </w:r>
            <w:r>
              <w:br/>
            </w:r>
            <w:r>
              <w:rPr>
                <w:rFonts w:ascii="Times New Roman"/>
                <w:b w:val="false"/>
                <w:i w:val="false"/>
                <w:color w:val="000000"/>
                <w:sz w:val="20"/>
              </w:rPr>
              <w:t>
</w:t>
            </w:r>
            <w:r>
              <w:rPr>
                <w:rFonts w:ascii="Times New Roman"/>
                <w:b w:val="false"/>
                <w:i w:val="false"/>
                <w:color w:val="000000"/>
                <w:sz w:val="20"/>
              </w:rPr>
              <w:t>      &lt;ds:X509Certiicate&gt;mMDVhY...11Cm4=&lt;/ds:X509Certiicate&gt;</w:t>
            </w:r>
            <w:r>
              <w:br/>
            </w:r>
            <w:r>
              <w:rPr>
                <w:rFonts w:ascii="Times New Roman"/>
                <w:b w:val="false"/>
                <w:i w:val="false"/>
                <w:color w:val="000000"/>
                <w:sz w:val="20"/>
              </w:rPr>
              <w:t>
</w:t>
            </w:r>
            <w:r>
              <w:rPr>
                <w:rFonts w:ascii="Times New Roman"/>
                <w:b w:val="false"/>
                <w:i w:val="false"/>
                <w:color w:val="000000"/>
                <w:sz w:val="20"/>
              </w:rPr>
              <w:t>    &lt;/ds:X509Data&gt;</w:t>
            </w:r>
            <w:r>
              <w:br/>
            </w:r>
            <w:r>
              <w:rPr>
                <w:rFonts w:ascii="Times New Roman"/>
                <w:b w:val="false"/>
                <w:i w:val="false"/>
                <w:color w:val="000000"/>
                <w:sz w:val="20"/>
              </w:rPr>
              <w:t>
</w:t>
            </w:r>
            <w:r>
              <w:rPr>
                <w:rFonts w:ascii="Times New Roman"/>
                <w:b w:val="false"/>
                <w:i w:val="false"/>
                <w:color w:val="000000"/>
                <w:sz w:val="20"/>
              </w:rPr>
              <w:t>  &lt;/ds:KeyInfo&gt;</w:t>
            </w:r>
            <w:r>
              <w:br/>
            </w:r>
            <w:r>
              <w:rPr>
                <w:rFonts w:ascii="Times New Roman"/>
                <w:b w:val="false"/>
                <w:i w:val="false"/>
                <w:color w:val="000000"/>
                <w:sz w:val="20"/>
              </w:rPr>
              <w:t>
</w:t>
            </w:r>
            <w:r>
              <w:rPr>
                <w:rFonts w:ascii="Times New Roman"/>
                <w:b w:val="false"/>
                <w:i w:val="false"/>
                <w:color w:val="000000"/>
                <w:sz w:val="20"/>
              </w:rPr>
              <w:t>&lt;ds:Object&gt;</w:t>
            </w:r>
            <w:r>
              <w:br/>
            </w:r>
            <w:r>
              <w:rPr>
                <w:rFonts w:ascii="Times New Roman"/>
                <w:b w:val="false"/>
                <w:i w:val="false"/>
                <w:color w:val="000000"/>
                <w:sz w:val="20"/>
              </w:rPr>
              <w:t>
</w:t>
            </w:r>
            <w:r>
              <w:rPr>
                <w:rFonts w:ascii="Times New Roman"/>
                <w:b w:val="false"/>
                <w:i w:val="false"/>
                <w:color w:val="000000"/>
                <w:sz w:val="20"/>
              </w:rPr>
              <w:t>  &lt;ds:Manifest Id="TTP.Sender.Receipt1Manifest"&gt;</w:t>
            </w:r>
            <w:r>
              <w:br/>
            </w:r>
            <w:r>
              <w:rPr>
                <w:rFonts w:ascii="Times New Roman"/>
                <w:b w:val="false"/>
                <w:i w:val="false"/>
                <w:color w:val="000000"/>
                <w:sz w:val="20"/>
              </w:rPr>
              <w:t>
</w:t>
            </w:r>
            <w:r>
              <w:rPr>
                <w:rFonts w:ascii="Times New Roman"/>
                <w:b w:val="false"/>
                <w:i w:val="false"/>
                <w:color w:val="000000"/>
                <w:sz w:val="20"/>
              </w:rPr>
              <w:t>    &lt;ds:Reference URI="#Data"&gt;</w:t>
            </w:r>
            <w:r>
              <w:br/>
            </w:r>
            <w:r>
              <w:rPr>
                <w:rFonts w:ascii="Times New Roman"/>
                <w:b w:val="false"/>
                <w:i w:val="false"/>
                <w:color w:val="000000"/>
                <w:sz w:val="20"/>
              </w:rPr>
              <w:t>
</w:t>
            </w:r>
            <w:r>
              <w:rPr>
                <w:rFonts w:ascii="Times New Roman"/>
                <w:b w:val="false"/>
                <w:i w:val="false"/>
                <w:color w:val="000000"/>
                <w:sz w:val="20"/>
              </w:rPr>
              <w:t>      &lt;ds:Transforms&gt;</w:t>
            </w:r>
            <w:r>
              <w:br/>
            </w:r>
            <w:r>
              <w:rPr>
                <w:rFonts w:ascii="Times New Roman"/>
                <w:b w:val="false"/>
                <w:i w:val="false"/>
                <w:color w:val="000000"/>
                <w:sz w:val="20"/>
              </w:rPr>
              <w:t>
</w:t>
            </w:r>
            <w:r>
              <w:rPr>
                <w:rFonts w:ascii="Times New Roman"/>
                <w:b w:val="false"/>
                <w:i w:val="false"/>
                <w:color w:val="000000"/>
                <w:sz w:val="20"/>
              </w:rPr>
              <w:t xml:space="preserve">        &lt;ds:Transform Algorithm="http://www.w3.org/2001/10/xml-exc-c14n#m"/&gt;        </w:t>
            </w:r>
            <w:r>
              <w:br/>
            </w:r>
            <w:r>
              <w:rPr>
                <w:rFonts w:ascii="Times New Roman"/>
                <w:b w:val="false"/>
                <w:i w:val="false"/>
                <w:color w:val="000000"/>
                <w:sz w:val="20"/>
              </w:rPr>
              <w:t>
</w:t>
            </w:r>
            <w:r>
              <w:rPr>
                <w:rFonts w:ascii="Times New Roman"/>
                <w:b w:val="false"/>
                <w:i w:val="false"/>
                <w:color w:val="000000"/>
                <w:sz w:val="20"/>
              </w:rPr>
              <w:t>      &lt;/ds:Transforms&gt;</w:t>
            </w:r>
            <w:r>
              <w:br/>
            </w:r>
            <w:r>
              <w:rPr>
                <w:rFonts w:ascii="Times New Roman"/>
                <w:b w:val="false"/>
                <w:i w:val="false"/>
                <w:color w:val="000000"/>
                <w:sz w:val="20"/>
              </w:rPr>
              <w:t>
</w:t>
            </w:r>
            <w:r>
              <w:rPr>
                <w:rFonts w:ascii="Times New Roman"/>
                <w:b w:val="false"/>
                <w:i w:val="false"/>
                <w:color w:val="000000"/>
                <w:sz w:val="20"/>
              </w:rPr>
              <w:t>      &lt;ds:DigestMethod Algorithm="[идентификатор алгоритма вычисления хэш-суммы]"/&gt;</w:t>
            </w:r>
            <w:r>
              <w:br/>
            </w:r>
            <w:r>
              <w:rPr>
                <w:rFonts w:ascii="Times New Roman"/>
                <w:b w:val="false"/>
                <w:i w:val="false"/>
                <w:color w:val="000000"/>
                <w:sz w:val="20"/>
              </w:rPr>
              <w:t>
</w:t>
            </w:r>
            <w:r>
              <w:rPr>
                <w:rFonts w:ascii="Times New Roman"/>
                <w:b w:val="false"/>
                <w:i w:val="false"/>
                <w:color w:val="000000"/>
                <w:sz w:val="20"/>
              </w:rPr>
              <w:t>      &lt;ds:DigestValue&gt;UjBsR09EbGhjZ0dTQ…UUNBRU1tQ1p0dU1GUXhEUzhi&lt;/ds:DigestValue&gt;</w:t>
            </w:r>
            <w:r>
              <w:br/>
            </w:r>
            <w:r>
              <w:rPr>
                <w:rFonts w:ascii="Times New Roman"/>
                <w:b w:val="false"/>
                <w:i w:val="false"/>
                <w:color w:val="000000"/>
                <w:sz w:val="20"/>
              </w:rPr>
              <w:t>
</w:t>
            </w:r>
            <w:r>
              <w:rPr>
                <w:rFonts w:ascii="Times New Roman"/>
                <w:b w:val="false"/>
                <w:i w:val="false"/>
                <w:color w:val="000000"/>
                <w:sz w:val="20"/>
              </w:rPr>
              <w:t>    &lt;/ds:Reference&gt;</w:t>
            </w:r>
            <w:r>
              <w:br/>
            </w:r>
            <w:r>
              <w:rPr>
                <w:rFonts w:ascii="Times New Roman"/>
                <w:b w:val="false"/>
                <w:i w:val="false"/>
                <w:color w:val="000000"/>
                <w:sz w:val="20"/>
              </w:rPr>
              <w:t>
</w:t>
            </w:r>
            <w:r>
              <w:rPr>
                <w:rFonts w:ascii="Times New Roman"/>
                <w:b w:val="false"/>
                <w:i w:val="false"/>
                <w:color w:val="000000"/>
                <w:sz w:val="20"/>
              </w:rPr>
              <w:t>  &lt;/ds:Manifest&gt;</w:t>
            </w:r>
            <w:r>
              <w:br/>
            </w:r>
            <w:r>
              <w:rPr>
                <w:rFonts w:ascii="Times New Roman"/>
                <w:b w:val="false"/>
                <w:i w:val="false"/>
                <w:color w:val="000000"/>
                <w:sz w:val="20"/>
              </w:rPr>
              <w:t>
</w:t>
            </w:r>
            <w:r>
              <w:rPr>
                <w:rFonts w:ascii="Times New Roman"/>
                <w:b w:val="false"/>
                <w:i w:val="false"/>
                <w:color w:val="000000"/>
                <w:sz w:val="20"/>
              </w:rPr>
              <w:t>    &lt;rcpt:Receipt Id="TTP.Sender.Receipt1Details" xmlns:rcpt="urn:EEC:TTP:v1.0:receipt"&gt;</w:t>
            </w:r>
            <w:r>
              <w:br/>
            </w:r>
            <w:r>
              <w:rPr>
                <w:rFonts w:ascii="Times New Roman"/>
                <w:b w:val="false"/>
                <w:i w:val="false"/>
                <w:color w:val="000000"/>
                <w:sz w:val="20"/>
              </w:rPr>
              <w:t>
</w:t>
            </w:r>
            <w:r>
              <w:rPr>
                <w:rFonts w:ascii="Times New Roman"/>
                <w:b w:val="false"/>
                <w:i w:val="false"/>
                <w:color w:val="000000"/>
                <w:sz w:val="20"/>
              </w:rPr>
              <w:t>      &lt;rcpt:ReceiptId&gt;urn:uuid:9d3b13f5-3c18-4788-9117-efc3faa78272&lt;/rcpt:ReceiptId&gt;</w:t>
            </w:r>
            <w:r>
              <w:br/>
            </w:r>
            <w:r>
              <w:rPr>
                <w:rFonts w:ascii="Times New Roman"/>
                <w:b w:val="false"/>
                <w:i w:val="false"/>
                <w:color w:val="000000"/>
                <w:sz w:val="20"/>
              </w:rPr>
              <w:t>
</w:t>
            </w:r>
            <w:r>
              <w:rPr>
                <w:rFonts w:ascii="Times New Roman"/>
                <w:b w:val="false"/>
                <w:i w:val="false"/>
                <w:color w:val="000000"/>
                <w:sz w:val="20"/>
              </w:rPr>
              <w:t>       &lt;rcpt:DocId&gt;urn:uuid:062c1624-5c7e-4a9f-942c-2bba2ea983cf&lt;/rcpt:DocId&gt;</w:t>
            </w:r>
            <w:r>
              <w:br/>
            </w:r>
            <w:r>
              <w:rPr>
                <w:rFonts w:ascii="Times New Roman"/>
                <w:b w:val="false"/>
                <w:i w:val="false"/>
                <w:color w:val="000000"/>
                <w:sz w:val="20"/>
              </w:rPr>
              <w:t>
</w:t>
            </w:r>
            <w:r>
              <w:rPr>
                <w:rFonts w:ascii="Times New Roman"/>
                <w:b w:val="false"/>
                <w:i w:val="false"/>
                <w:color w:val="000000"/>
                <w:sz w:val="20"/>
              </w:rPr>
              <w:t>       &lt;rcpt:Report&gt;</w:t>
            </w:r>
            <w:r>
              <w:br/>
            </w:r>
            <w:r>
              <w:rPr>
                <w:rFonts w:ascii="Times New Roman"/>
                <w:b w:val="false"/>
                <w:i w:val="false"/>
                <w:color w:val="000000"/>
                <w:sz w:val="20"/>
              </w:rPr>
              <w:t>
</w:t>
            </w:r>
            <w:r>
              <w:rPr>
                <w:rFonts w:ascii="Times New Roman"/>
                <w:b w:val="false"/>
                <w:i w:val="false"/>
                <w:color w:val="000000"/>
                <w:sz w:val="20"/>
              </w:rPr>
              <w:t>             &lt;rcpt:Success Reference="#Signature1"/&gt;</w:t>
            </w:r>
            <w:r>
              <w:br/>
            </w:r>
            <w:r>
              <w:rPr>
                <w:rFonts w:ascii="Times New Roman"/>
                <w:b w:val="false"/>
                <w:i w:val="false"/>
                <w:color w:val="000000"/>
                <w:sz w:val="20"/>
              </w:rPr>
              <w:t>
</w:t>
            </w:r>
            <w:r>
              <w:rPr>
                <w:rFonts w:ascii="Times New Roman"/>
                <w:b w:val="false"/>
                <w:i w:val="false"/>
                <w:color w:val="000000"/>
                <w:sz w:val="20"/>
              </w:rPr>
              <w:t>             &lt;rcpt:Error Reference="#Signature2"&gt;</w:t>
            </w:r>
            <w:r>
              <w:br/>
            </w:r>
            <w:r>
              <w:rPr>
                <w:rFonts w:ascii="Times New Roman"/>
                <w:b w:val="false"/>
                <w:i w:val="false"/>
                <w:color w:val="000000"/>
                <w:sz w:val="20"/>
              </w:rPr>
              <w:t>
</w:t>
            </w:r>
            <w:r>
              <w:rPr>
                <w:rFonts w:ascii="Times New Roman"/>
                <w:b w:val="false"/>
                <w:i w:val="false"/>
                <w:color w:val="000000"/>
                <w:sz w:val="20"/>
              </w:rPr>
              <w:t>                          &lt;rcpt:ReasonCode&gt;Signature.Error&lt;/rcpt:ReasonCode&gt;</w:t>
            </w:r>
            <w:r>
              <w:br/>
            </w:r>
            <w:r>
              <w:rPr>
                <w:rFonts w:ascii="Times New Roman"/>
                <w:b w:val="false"/>
                <w:i w:val="false"/>
                <w:color w:val="000000"/>
                <w:sz w:val="20"/>
              </w:rPr>
              <w:t>
</w:t>
            </w:r>
            <w:r>
              <w:rPr>
                <w:rFonts w:ascii="Times New Roman"/>
                <w:b w:val="false"/>
                <w:i w:val="false"/>
                <w:color w:val="000000"/>
                <w:sz w:val="20"/>
              </w:rPr>
              <w:t>                          &lt;rcpt:ReasonText&gt;Хэш, указанный в элементе Signature/SignedInfo/DigestValue не совпадает со значением хэша, построенного ДТС&lt;/rcpt:ReasonText&gt;</w:t>
            </w:r>
            <w:r>
              <w:br/>
            </w:r>
            <w:r>
              <w:rPr>
                <w:rFonts w:ascii="Times New Roman"/>
                <w:b w:val="false"/>
                <w:i w:val="false"/>
                <w:color w:val="000000"/>
                <w:sz w:val="20"/>
              </w:rPr>
              <w:t>
</w:t>
            </w:r>
            <w:r>
              <w:rPr>
                <w:rFonts w:ascii="Times New Roman"/>
                <w:b w:val="false"/>
                <w:i w:val="false"/>
                <w:color w:val="000000"/>
                <w:sz w:val="20"/>
              </w:rPr>
              <w:t>             &lt;/rcpt:Error&gt;</w:t>
            </w:r>
            <w:r>
              <w:br/>
            </w:r>
            <w:r>
              <w:rPr>
                <w:rFonts w:ascii="Times New Roman"/>
                <w:b w:val="false"/>
                <w:i w:val="false"/>
                <w:color w:val="000000"/>
                <w:sz w:val="20"/>
              </w:rPr>
              <w:t>
</w:t>
            </w:r>
            <w:r>
              <w:rPr>
                <w:rFonts w:ascii="Times New Roman"/>
                <w:b w:val="false"/>
                <w:i w:val="false"/>
                <w:color w:val="000000"/>
                <w:sz w:val="20"/>
              </w:rPr>
              <w:t xml:space="preserve">             &lt;rcpt:Success Reference="#Signature3"/&gt;            </w:t>
            </w:r>
            <w:r>
              <w:br/>
            </w:r>
            <w:r>
              <w:rPr>
                <w:rFonts w:ascii="Times New Roman"/>
                <w:b w:val="false"/>
                <w:i w:val="false"/>
                <w:color w:val="000000"/>
                <w:sz w:val="20"/>
              </w:rPr>
              <w:t>
</w:t>
            </w:r>
            <w:r>
              <w:rPr>
                <w:rFonts w:ascii="Times New Roman"/>
                <w:b w:val="false"/>
                <w:i w:val="false"/>
                <w:color w:val="000000"/>
                <w:sz w:val="20"/>
              </w:rPr>
              <w:t>       &lt;/rcpt:Report&gt;</w:t>
            </w:r>
            <w:r>
              <w:br/>
            </w:r>
            <w:r>
              <w:rPr>
                <w:rFonts w:ascii="Times New Roman"/>
                <w:b w:val="false"/>
                <w:i w:val="false"/>
                <w:color w:val="000000"/>
                <w:sz w:val="20"/>
              </w:rPr>
              <w:t>
</w:t>
            </w:r>
            <w:r>
              <w:rPr>
                <w:rFonts w:ascii="Times New Roman"/>
                <w:b w:val="false"/>
                <w:i w:val="false"/>
                <w:color w:val="000000"/>
                <w:sz w:val="20"/>
              </w:rPr>
              <w:t>    &lt;/rcpt:Receipt&gt;</w:t>
            </w:r>
            <w:r>
              <w:br/>
            </w:r>
            <w:r>
              <w:rPr>
                <w:rFonts w:ascii="Times New Roman"/>
                <w:b w:val="false"/>
                <w:i w:val="false"/>
                <w:color w:val="000000"/>
                <w:sz w:val="20"/>
              </w:rPr>
              <w:t>
</w:t>
            </w:r>
            <w:r>
              <w:rPr>
                <w:rFonts w:ascii="Times New Roman"/>
                <w:b w:val="false"/>
                <w:i w:val="false"/>
                <w:color w:val="000000"/>
                <w:sz w:val="20"/>
              </w:rPr>
              <w:t>&lt;xades:QualifyingProperties xmlns:xades="http://uri.etsi.org/01903/v1.3.2#"&gt;</w:t>
            </w:r>
            <w:r>
              <w:br/>
            </w:r>
            <w:r>
              <w:rPr>
                <w:rFonts w:ascii="Times New Roman"/>
                <w:b w:val="false"/>
                <w:i w:val="false"/>
                <w:color w:val="000000"/>
                <w:sz w:val="20"/>
              </w:rPr>
              <w:t>
</w:t>
            </w:r>
            <w:r>
              <w:rPr>
                <w:rFonts w:ascii="Times New Roman"/>
                <w:b w:val="false"/>
                <w:i w:val="false"/>
                <w:color w:val="000000"/>
                <w:sz w:val="20"/>
              </w:rPr>
              <w:t>      &lt;xades:SignedProperties Id="TTP.Sender.Receipt1SignedProperties"&gt;</w:t>
            </w:r>
            <w:r>
              <w:br/>
            </w:r>
            <w:r>
              <w:rPr>
                <w:rFonts w:ascii="Times New Roman"/>
                <w:b w:val="false"/>
                <w:i w:val="false"/>
                <w:color w:val="000000"/>
                <w:sz w:val="20"/>
              </w:rPr>
              <w:t>
</w:t>
            </w:r>
            <w:r>
              <w:rPr>
                <w:rFonts w:ascii="Times New Roman"/>
                <w:b w:val="false"/>
                <w:i w:val="false"/>
                <w:color w:val="000000"/>
                <w:sz w:val="20"/>
              </w:rPr>
              <w:t xml:space="preserve">        &lt;xades:SignedSignatureProperties&gt;          </w:t>
            </w:r>
            <w:r>
              <w:br/>
            </w:r>
            <w:r>
              <w:rPr>
                <w:rFonts w:ascii="Times New Roman"/>
                <w:b w:val="false"/>
                <w:i w:val="false"/>
                <w:color w:val="000000"/>
                <w:sz w:val="20"/>
              </w:rPr>
              <w:t>
</w:t>
            </w:r>
            <w:r>
              <w:rPr>
                <w:rFonts w:ascii="Times New Roman"/>
                <w:b w:val="false"/>
                <w:i w:val="false"/>
                <w:color w:val="000000"/>
                <w:sz w:val="20"/>
              </w:rPr>
              <w:t>          &lt;xades:SigningCertificate&gt;</w:t>
            </w:r>
            <w:r>
              <w:br/>
            </w:r>
            <w:r>
              <w:rPr>
                <w:rFonts w:ascii="Times New Roman"/>
                <w:b w:val="false"/>
                <w:i w:val="false"/>
                <w:color w:val="000000"/>
                <w:sz w:val="20"/>
              </w:rPr>
              <w:t>
</w:t>
            </w:r>
            <w:r>
              <w:rPr>
                <w:rFonts w:ascii="Times New Roman"/>
                <w:b w:val="false"/>
                <w:i w:val="false"/>
                <w:color w:val="000000"/>
                <w:sz w:val="20"/>
              </w:rPr>
              <w:t>            &lt;xades:Cert&gt;</w:t>
            </w:r>
            <w:r>
              <w:br/>
            </w:r>
            <w:r>
              <w:rPr>
                <w:rFonts w:ascii="Times New Roman"/>
                <w:b w:val="false"/>
                <w:i w:val="false"/>
                <w:color w:val="000000"/>
                <w:sz w:val="20"/>
              </w:rPr>
              <w:t>
</w:t>
            </w:r>
            <w:r>
              <w:rPr>
                <w:rFonts w:ascii="Times New Roman"/>
                <w:b w:val="false"/>
                <w:i w:val="false"/>
                <w:color w:val="000000"/>
                <w:sz w:val="20"/>
              </w:rPr>
              <w:t>              &lt;xades:CertDigest&gt;</w:t>
            </w:r>
            <w:r>
              <w:br/>
            </w:r>
            <w:r>
              <w:rPr>
                <w:rFonts w:ascii="Times New Roman"/>
                <w:b w:val="false"/>
                <w:i w:val="false"/>
                <w:color w:val="000000"/>
                <w:sz w:val="20"/>
              </w:rPr>
              <w:t>
</w:t>
            </w:r>
            <w:r>
              <w:rPr>
                <w:rFonts w:ascii="Times New Roman"/>
                <w:b w:val="false"/>
                <w:i w:val="false"/>
                <w:color w:val="000000"/>
                <w:sz w:val="20"/>
              </w:rPr>
              <w:t>                &lt;ds:DigestMethod&gt;[идентификатор алгоритма вычисления хэш-суммы]&lt;/ds:DigestMethod&gt;</w:t>
            </w:r>
            <w:r>
              <w:br/>
            </w:r>
            <w:r>
              <w:rPr>
                <w:rFonts w:ascii="Times New Roman"/>
                <w:b w:val="false"/>
                <w:i w:val="false"/>
                <w:color w:val="000000"/>
                <w:sz w:val="20"/>
              </w:rPr>
              <w:t>
</w:t>
            </w:r>
            <w:r>
              <w:rPr>
                <w:rFonts w:ascii="Times New Roman"/>
                <w:b w:val="false"/>
                <w:i w:val="false"/>
                <w:color w:val="000000"/>
                <w:sz w:val="20"/>
              </w:rPr>
              <w:t>                &lt;ds:DigestValue&gt;UjBsR0..tQ1p0dU1GUXhEUzhi&lt;/ds:DigestValue&gt;</w:t>
            </w:r>
            <w:r>
              <w:br/>
            </w:r>
            <w:r>
              <w:rPr>
                <w:rFonts w:ascii="Times New Roman"/>
                <w:b w:val="false"/>
                <w:i w:val="false"/>
                <w:color w:val="000000"/>
                <w:sz w:val="20"/>
              </w:rPr>
              <w:t>
</w:t>
            </w:r>
            <w:r>
              <w:rPr>
                <w:rFonts w:ascii="Times New Roman"/>
                <w:b w:val="false"/>
                <w:i w:val="false"/>
                <w:color w:val="000000"/>
                <w:sz w:val="20"/>
              </w:rPr>
              <w:t>              &lt;/xades:CertDigest&gt;</w:t>
            </w:r>
            <w:r>
              <w:br/>
            </w:r>
            <w:r>
              <w:rPr>
                <w:rFonts w:ascii="Times New Roman"/>
                <w:b w:val="false"/>
                <w:i w:val="false"/>
                <w:color w:val="000000"/>
                <w:sz w:val="20"/>
              </w:rPr>
              <w:t>
</w:t>
            </w:r>
            <w:r>
              <w:rPr>
                <w:rFonts w:ascii="Times New Roman"/>
                <w:b w:val="false"/>
                <w:i w:val="false"/>
                <w:color w:val="000000"/>
                <w:sz w:val="20"/>
              </w:rPr>
              <w:t>              &lt;ds:IssuerSerial&gt;</w:t>
            </w:r>
            <w:r>
              <w:br/>
            </w:r>
            <w:r>
              <w:rPr>
                <w:rFonts w:ascii="Times New Roman"/>
                <w:b w:val="false"/>
                <w:i w:val="false"/>
                <w:color w:val="000000"/>
                <w:sz w:val="20"/>
              </w:rPr>
              <w:t>
</w:t>
            </w:r>
            <w:r>
              <w:rPr>
                <w:rFonts w:ascii="Times New Roman"/>
                <w:b w:val="false"/>
                <w:i w:val="false"/>
                <w:color w:val="000000"/>
                <w:sz w:val="20"/>
              </w:rPr>
              <w:t>                &lt;ds:X509IssuerName&gt;CN = CertCenter, O = CERT-CENTER, C = EEC, E = nfo@cn.org &lt;/ds:X509IssuerName&gt;</w:t>
            </w:r>
            <w:r>
              <w:br/>
            </w:r>
            <w:r>
              <w:rPr>
                <w:rFonts w:ascii="Times New Roman"/>
                <w:b w:val="false"/>
                <w:i w:val="false"/>
                <w:color w:val="000000"/>
                <w:sz w:val="20"/>
              </w:rPr>
              <w:t>
</w:t>
            </w:r>
            <w:r>
              <w:rPr>
                <w:rFonts w:ascii="Times New Roman"/>
                <w:b w:val="false"/>
                <w:i w:val="false"/>
                <w:color w:val="000000"/>
                <w:sz w:val="20"/>
              </w:rPr>
              <w:t>                &lt;ds:X509SerialNumber&gt;18761230&lt;/ds:X509SerialNumber&gt;</w:t>
            </w:r>
            <w:r>
              <w:br/>
            </w:r>
            <w:r>
              <w:rPr>
                <w:rFonts w:ascii="Times New Roman"/>
                <w:b w:val="false"/>
                <w:i w:val="false"/>
                <w:color w:val="000000"/>
                <w:sz w:val="20"/>
              </w:rPr>
              <w:t>
</w:t>
            </w:r>
            <w:r>
              <w:rPr>
                <w:rFonts w:ascii="Times New Roman"/>
                <w:b w:val="false"/>
                <w:i w:val="false"/>
                <w:color w:val="000000"/>
                <w:sz w:val="20"/>
              </w:rPr>
              <w:t>              &lt;/ds:IssuerSerial&gt;</w:t>
            </w:r>
            <w:r>
              <w:br/>
            </w:r>
            <w:r>
              <w:rPr>
                <w:rFonts w:ascii="Times New Roman"/>
                <w:b w:val="false"/>
                <w:i w:val="false"/>
                <w:color w:val="000000"/>
                <w:sz w:val="20"/>
              </w:rPr>
              <w:t>
</w:t>
            </w:r>
            <w:r>
              <w:rPr>
                <w:rFonts w:ascii="Times New Roman"/>
                <w:b w:val="false"/>
                <w:i w:val="false"/>
                <w:color w:val="000000"/>
                <w:sz w:val="20"/>
              </w:rPr>
              <w:t>            &lt;/xades:Cert&gt;</w:t>
            </w:r>
            <w:r>
              <w:br/>
            </w:r>
            <w:r>
              <w:rPr>
                <w:rFonts w:ascii="Times New Roman"/>
                <w:b w:val="false"/>
                <w:i w:val="false"/>
                <w:color w:val="000000"/>
                <w:sz w:val="20"/>
              </w:rPr>
              <w:t>
</w:t>
            </w:r>
            <w:r>
              <w:rPr>
                <w:rFonts w:ascii="Times New Roman"/>
                <w:b w:val="false"/>
                <w:i w:val="false"/>
                <w:color w:val="000000"/>
                <w:sz w:val="20"/>
              </w:rPr>
              <w:t>          &lt;/xades:SigningCertificate&gt;</w:t>
            </w:r>
            <w:r>
              <w:br/>
            </w:r>
            <w:r>
              <w:rPr>
                <w:rFonts w:ascii="Times New Roman"/>
                <w:b w:val="false"/>
                <w:i w:val="false"/>
                <w:color w:val="000000"/>
                <w:sz w:val="20"/>
              </w:rPr>
              <w:t>
</w:t>
            </w:r>
            <w:r>
              <w:rPr>
                <w:rFonts w:ascii="Times New Roman"/>
                <w:b w:val="false"/>
                <w:i w:val="false"/>
                <w:color w:val="000000"/>
                <w:sz w:val="20"/>
              </w:rPr>
              <w:t>          &lt;xades:SignatureProductionPlace&gt;</w:t>
            </w:r>
            <w:r>
              <w:br/>
            </w:r>
            <w:r>
              <w:rPr>
                <w:rFonts w:ascii="Times New Roman"/>
                <w:b w:val="false"/>
                <w:i w:val="false"/>
                <w:color w:val="000000"/>
                <w:sz w:val="20"/>
              </w:rPr>
              <w:t>
</w:t>
            </w:r>
            <w:r>
              <w:rPr>
                <w:rFonts w:ascii="Times New Roman"/>
                <w:b w:val="false"/>
                <w:i w:val="false"/>
                <w:color w:val="000000"/>
                <w:sz w:val="20"/>
              </w:rPr>
              <w:t>            &lt;xades:CountryName&gt;RU&lt;/xades:CountryName&gt;</w:t>
            </w:r>
            <w:r>
              <w:br/>
            </w:r>
            <w:r>
              <w:rPr>
                <w:rFonts w:ascii="Times New Roman"/>
                <w:b w:val="false"/>
                <w:i w:val="false"/>
                <w:color w:val="000000"/>
                <w:sz w:val="20"/>
              </w:rPr>
              <w:t>
</w:t>
            </w:r>
            <w:r>
              <w:rPr>
                <w:rFonts w:ascii="Times New Roman"/>
                <w:b w:val="false"/>
                <w:i w:val="false"/>
                <w:color w:val="000000"/>
                <w:sz w:val="20"/>
              </w:rPr>
              <w:t>          &lt;/xades:SignatureProductionPlace&gt;</w:t>
            </w:r>
            <w:r>
              <w:br/>
            </w:r>
            <w:r>
              <w:rPr>
                <w:rFonts w:ascii="Times New Roman"/>
                <w:b w:val="false"/>
                <w:i w:val="false"/>
                <w:color w:val="000000"/>
                <w:sz w:val="20"/>
              </w:rPr>
              <w:t>
</w:t>
            </w:r>
            <w:r>
              <w:rPr>
                <w:rFonts w:ascii="Times New Roman"/>
                <w:b w:val="false"/>
                <w:i w:val="false"/>
                <w:color w:val="000000"/>
                <w:sz w:val="20"/>
              </w:rPr>
              <w:t>          &lt;xades:SignerRole&gt;</w:t>
            </w:r>
            <w:r>
              <w:br/>
            </w:r>
            <w:r>
              <w:rPr>
                <w:rFonts w:ascii="Times New Roman"/>
                <w:b w:val="false"/>
                <w:i w:val="false"/>
                <w:color w:val="000000"/>
                <w:sz w:val="20"/>
              </w:rPr>
              <w:t>
</w:t>
            </w:r>
            <w:r>
              <w:rPr>
                <w:rFonts w:ascii="Times New Roman"/>
                <w:b w:val="false"/>
                <w:i w:val="false"/>
                <w:color w:val="000000"/>
                <w:sz w:val="20"/>
              </w:rPr>
              <w:t>            &lt;xades:ClaimedRoles&gt;</w:t>
            </w:r>
            <w:r>
              <w:br/>
            </w:r>
            <w:r>
              <w:rPr>
                <w:rFonts w:ascii="Times New Roman"/>
                <w:b w:val="false"/>
                <w:i w:val="false"/>
                <w:color w:val="000000"/>
                <w:sz w:val="20"/>
              </w:rPr>
              <w:t>
</w:t>
            </w:r>
            <w:r>
              <w:rPr>
                <w:rFonts w:ascii="Times New Roman"/>
                <w:b w:val="false"/>
                <w:i w:val="false"/>
                <w:color w:val="000000"/>
                <w:sz w:val="20"/>
              </w:rPr>
              <w:t>              &lt;xades:ClaimedRole&gt;TTP.Sender&lt;/xades:ClaimedRole&gt;</w:t>
            </w:r>
            <w:r>
              <w:br/>
            </w:r>
            <w:r>
              <w:rPr>
                <w:rFonts w:ascii="Times New Roman"/>
                <w:b w:val="false"/>
                <w:i w:val="false"/>
                <w:color w:val="000000"/>
                <w:sz w:val="20"/>
              </w:rPr>
              <w:t>
</w:t>
            </w:r>
            <w:r>
              <w:rPr>
                <w:rFonts w:ascii="Times New Roman"/>
                <w:b w:val="false"/>
                <w:i w:val="false"/>
                <w:color w:val="000000"/>
                <w:sz w:val="20"/>
              </w:rPr>
              <w:t>            &lt;/xades:ClaimedRoles&gt;</w:t>
            </w:r>
            <w:r>
              <w:br/>
            </w:r>
            <w:r>
              <w:rPr>
                <w:rFonts w:ascii="Times New Roman"/>
                <w:b w:val="false"/>
                <w:i w:val="false"/>
                <w:color w:val="000000"/>
                <w:sz w:val="20"/>
              </w:rPr>
              <w:t>
</w:t>
            </w:r>
            <w:r>
              <w:rPr>
                <w:rFonts w:ascii="Times New Roman"/>
                <w:b w:val="false"/>
                <w:i w:val="false"/>
                <w:color w:val="000000"/>
                <w:sz w:val="20"/>
              </w:rPr>
              <w:t>          &lt;/xades:SignerRole&gt;</w:t>
            </w:r>
            <w:r>
              <w:br/>
            </w:r>
            <w:r>
              <w:rPr>
                <w:rFonts w:ascii="Times New Roman"/>
                <w:b w:val="false"/>
                <w:i w:val="false"/>
                <w:color w:val="000000"/>
                <w:sz w:val="20"/>
              </w:rPr>
              <w:t>
</w:t>
            </w:r>
            <w:r>
              <w:rPr>
                <w:rFonts w:ascii="Times New Roman"/>
                <w:b w:val="false"/>
                <w:i w:val="false"/>
                <w:color w:val="000000"/>
                <w:sz w:val="20"/>
              </w:rPr>
              <w:t>        &lt;/xades:SignedSignatureProperties&gt;</w:t>
            </w:r>
            <w:r>
              <w:br/>
            </w:r>
            <w:r>
              <w:rPr>
                <w:rFonts w:ascii="Times New Roman"/>
                <w:b w:val="false"/>
                <w:i w:val="false"/>
                <w:color w:val="000000"/>
                <w:sz w:val="20"/>
              </w:rPr>
              <w:t>
</w:t>
            </w:r>
            <w:r>
              <w:rPr>
                <w:rFonts w:ascii="Times New Roman"/>
                <w:b w:val="false"/>
                <w:i w:val="false"/>
                <w:color w:val="000000"/>
                <w:sz w:val="20"/>
              </w:rPr>
              <w:t>      &lt;/xades:SignedProperties&gt;</w:t>
            </w:r>
            <w:r>
              <w:br/>
            </w:r>
            <w:r>
              <w:rPr>
                <w:rFonts w:ascii="Times New Roman"/>
                <w:b w:val="false"/>
                <w:i w:val="false"/>
                <w:color w:val="000000"/>
                <w:sz w:val="20"/>
              </w:rPr>
              <w:t>
</w:t>
            </w:r>
            <w:r>
              <w:rPr>
                <w:rFonts w:ascii="Times New Roman"/>
                <w:b w:val="false"/>
                <w:i w:val="false"/>
                <w:color w:val="000000"/>
                <w:sz w:val="20"/>
              </w:rPr>
              <w:t xml:space="preserve">      &lt;xades:UnsignedProperties&gt;  </w:t>
            </w:r>
            <w:r>
              <w:br/>
            </w:r>
            <w:r>
              <w:rPr>
                <w:rFonts w:ascii="Times New Roman"/>
                <w:b w:val="false"/>
                <w:i w:val="false"/>
                <w:color w:val="000000"/>
                <w:sz w:val="20"/>
              </w:rPr>
              <w:t>
</w:t>
            </w:r>
            <w:r>
              <w:rPr>
                <w:rFonts w:ascii="Times New Roman"/>
                <w:b w:val="false"/>
                <w:i w:val="false"/>
                <w:color w:val="000000"/>
                <w:sz w:val="20"/>
              </w:rPr>
              <w:t>        &lt;xades:UnsignedSignatureProperties&gt;</w:t>
            </w:r>
            <w:r>
              <w:br/>
            </w:r>
            <w:r>
              <w:rPr>
                <w:rFonts w:ascii="Times New Roman"/>
                <w:b w:val="false"/>
                <w:i w:val="false"/>
                <w:color w:val="000000"/>
                <w:sz w:val="20"/>
              </w:rPr>
              <w:t>
</w:t>
            </w:r>
            <w:r>
              <w:rPr>
                <w:rFonts w:ascii="Times New Roman"/>
                <w:b w:val="false"/>
                <w:i w:val="false"/>
                <w:color w:val="000000"/>
                <w:sz w:val="20"/>
              </w:rPr>
              <w:t>            &lt;SignatureTimeStamp&gt;</w:t>
            </w:r>
            <w:r>
              <w:br/>
            </w:r>
            <w:r>
              <w:rPr>
                <w:rFonts w:ascii="Times New Roman"/>
                <w:b w:val="false"/>
                <w:i w:val="false"/>
                <w:color w:val="000000"/>
                <w:sz w:val="20"/>
              </w:rPr>
              <w:t>
</w:t>
            </w:r>
            <w:r>
              <w:rPr>
                <w:rFonts w:ascii="Times New Roman"/>
                <w:b w:val="false"/>
                <w:i w:val="false"/>
                <w:color w:val="000000"/>
                <w:sz w:val="20"/>
              </w:rPr>
              <w:t xml:space="preserve">                  &lt;ds:CanonicalizationMethod Algorithm=" </w:t>
            </w:r>
            <w:r>
              <w:rPr>
                <w:rFonts w:ascii="Times New Roman"/>
                <w:b w:val="false"/>
                <w:i w:val="false"/>
                <w:color w:val="000000"/>
                <w:sz w:val="20"/>
              </w:rPr>
              <w:t>http://www</w:t>
            </w:r>
            <w:r>
              <w:br/>
            </w:r>
            <w:r>
              <w:rPr>
                <w:rFonts w:ascii="Times New Roman"/>
                <w:b w:val="false"/>
                <w:i w:val="false"/>
                <w:color w:val="000000"/>
                <w:sz w:val="20"/>
              </w:rPr>
              <w:t>
</w:t>
            </w:r>
            <w:r>
              <w:rPr>
                <w:rFonts w:ascii="Times New Roman"/>
                <w:b w:val="false"/>
                <w:i w:val="false"/>
                <w:color w:val="000000"/>
                <w:sz w:val="20"/>
              </w:rPr>
              <w:t>w3.org/2001/10/xml-exc-c14n#"/&gt;</w:t>
            </w:r>
            <w:r>
              <w:br/>
            </w:r>
            <w:r>
              <w:rPr>
                <w:rFonts w:ascii="Times New Roman"/>
                <w:b w:val="false"/>
                <w:i w:val="false"/>
                <w:color w:val="000000"/>
                <w:sz w:val="20"/>
              </w:rPr>
              <w:t>
</w:t>
            </w:r>
            <w:r>
              <w:rPr>
                <w:rFonts w:ascii="Times New Roman"/>
                <w:b w:val="false"/>
                <w:i w:val="false"/>
                <w:color w:val="000000"/>
                <w:sz w:val="20"/>
              </w:rPr>
              <w:t>                  &lt;xades:EncapsulatedTimeStamp&gt;UjBsUxNQUFBUU….UxhEUzhi&lt;/xades:EncapsulatedTimeStamp&gt;</w:t>
            </w:r>
            <w:r>
              <w:br/>
            </w:r>
            <w:r>
              <w:rPr>
                <w:rFonts w:ascii="Times New Roman"/>
                <w:b w:val="false"/>
                <w:i w:val="false"/>
                <w:color w:val="000000"/>
                <w:sz w:val="20"/>
              </w:rPr>
              <w:t>
</w:t>
            </w:r>
            <w:r>
              <w:rPr>
                <w:rFonts w:ascii="Times New Roman"/>
                <w:b w:val="false"/>
                <w:i w:val="false"/>
                <w:color w:val="000000"/>
                <w:sz w:val="20"/>
              </w:rPr>
              <w:t>            &lt;/SignatureTimeStamp&gt;</w:t>
            </w:r>
            <w:r>
              <w:br/>
            </w:r>
            <w:r>
              <w:rPr>
                <w:rFonts w:ascii="Times New Roman"/>
                <w:b w:val="false"/>
                <w:i w:val="false"/>
                <w:color w:val="000000"/>
                <w:sz w:val="20"/>
              </w:rPr>
              <w:t>
</w:t>
            </w:r>
            <w:r>
              <w:rPr>
                <w:rFonts w:ascii="Times New Roman"/>
                <w:b w:val="false"/>
                <w:i w:val="false"/>
                <w:color w:val="000000"/>
                <w:sz w:val="20"/>
              </w:rPr>
              <w:t xml:space="preserve">          &lt;/xades:UnsignedSignatureProperties&gt; </w:t>
            </w:r>
            <w:r>
              <w:br/>
            </w:r>
            <w:r>
              <w:rPr>
                <w:rFonts w:ascii="Times New Roman"/>
                <w:b w:val="false"/>
                <w:i w:val="false"/>
                <w:color w:val="000000"/>
                <w:sz w:val="20"/>
              </w:rPr>
              <w:t>
</w:t>
            </w:r>
            <w:r>
              <w:rPr>
                <w:rFonts w:ascii="Times New Roman"/>
                <w:b w:val="false"/>
                <w:i w:val="false"/>
                <w:color w:val="000000"/>
                <w:sz w:val="20"/>
              </w:rPr>
              <w:t>        &lt;/xades:UnsignedProperties&gt;</w:t>
            </w:r>
            <w:r>
              <w:br/>
            </w:r>
            <w:r>
              <w:rPr>
                <w:rFonts w:ascii="Times New Roman"/>
                <w:b w:val="false"/>
                <w:i w:val="false"/>
                <w:color w:val="000000"/>
                <w:sz w:val="20"/>
              </w:rPr>
              <w:t>
</w:t>
            </w:r>
            <w:r>
              <w:rPr>
                <w:rFonts w:ascii="Times New Roman"/>
                <w:b w:val="false"/>
                <w:i w:val="false"/>
                <w:color w:val="000000"/>
                <w:sz w:val="20"/>
              </w:rPr>
              <w:t>      &lt;/xades:QualifyingProperties&gt;</w:t>
            </w:r>
            <w:r>
              <w:br/>
            </w:r>
            <w:r>
              <w:rPr>
                <w:rFonts w:ascii="Times New Roman"/>
                <w:b w:val="false"/>
                <w:i w:val="false"/>
                <w:color w:val="000000"/>
                <w:sz w:val="20"/>
              </w:rPr>
              <w:t>
</w:t>
            </w:r>
            <w:r>
              <w:rPr>
                <w:rFonts w:ascii="Times New Roman"/>
                <w:b w:val="false"/>
                <w:i w:val="false"/>
                <w:color w:val="000000"/>
                <w:sz w:val="20"/>
              </w:rPr>
              <w:t>  &lt;/ds:Object&gt;</w:t>
            </w:r>
            <w:r>
              <w:br/>
            </w:r>
            <w:r>
              <w:rPr>
                <w:rFonts w:ascii="Times New Roman"/>
                <w:b w:val="false"/>
                <w:i w:val="false"/>
                <w:color w:val="000000"/>
                <w:sz w:val="20"/>
              </w:rPr>
              <w:t>
</w:t>
            </w:r>
            <w:r>
              <w:rPr>
                <w:rFonts w:ascii="Times New Roman"/>
                <w:b w:val="false"/>
                <w:i w:val="false"/>
                <w:color w:val="000000"/>
                <w:sz w:val="20"/>
              </w:rPr>
              <w:t>&lt;/ds:Signature&gt;</w:t>
            </w:r>
          </w:p>
        </w:tc>
      </w:tr>
    </w:tbl>
    <w:bookmarkStart w:name="z221" w:id="54"/>
    <w:p>
      <w:pPr>
        <w:spacing w:after="0"/>
        <w:ind w:left="0"/>
        <w:jc w:val="both"/>
      </w:pPr>
      <w:r>
        <w:rPr>
          <w:rFonts w:ascii="Times New Roman"/>
          <w:b w:val="false"/>
          <w:i w:val="false"/>
          <w:color w:val="000000"/>
          <w:sz w:val="28"/>
        </w:rPr>
        <w:t xml:space="preserve">
ПРИЛОЖЕНИЕ № 8         </w:t>
      </w:r>
      <w:r>
        <w:br/>
      </w:r>
      <w:r>
        <w:rPr>
          <w:rFonts w:ascii="Times New Roman"/>
          <w:b w:val="false"/>
          <w:i w:val="false"/>
          <w:color w:val="000000"/>
          <w:sz w:val="28"/>
        </w:rPr>
        <w:t>
к Положению об обмене электронными</w:t>
      </w:r>
      <w:r>
        <w:br/>
      </w:r>
      <w:r>
        <w:rPr>
          <w:rFonts w:ascii="Times New Roman"/>
          <w:b w:val="false"/>
          <w:i w:val="false"/>
          <w:color w:val="000000"/>
          <w:sz w:val="28"/>
        </w:rPr>
        <w:t xml:space="preserve">
документами при трансграничном  </w:t>
      </w:r>
      <w:r>
        <w:br/>
      </w:r>
      <w:r>
        <w:rPr>
          <w:rFonts w:ascii="Times New Roman"/>
          <w:b w:val="false"/>
          <w:i w:val="false"/>
          <w:color w:val="000000"/>
          <w:sz w:val="28"/>
        </w:rPr>
        <w:t>
взаимодействии органов государственной</w:t>
      </w:r>
      <w:r>
        <w:br/>
      </w:r>
      <w:r>
        <w:rPr>
          <w:rFonts w:ascii="Times New Roman"/>
          <w:b w:val="false"/>
          <w:i w:val="false"/>
          <w:color w:val="000000"/>
          <w:sz w:val="28"/>
        </w:rPr>
        <w:t>
власти государств – членов Евразийского</w:t>
      </w:r>
      <w:r>
        <w:br/>
      </w:r>
      <w:r>
        <w:rPr>
          <w:rFonts w:ascii="Times New Roman"/>
          <w:b w:val="false"/>
          <w:i w:val="false"/>
          <w:color w:val="000000"/>
          <w:sz w:val="28"/>
        </w:rPr>
        <w:t xml:space="preserve">
экономического союза между собой и </w:t>
      </w:r>
      <w:r>
        <w:br/>
      </w:r>
      <w:r>
        <w:rPr>
          <w:rFonts w:ascii="Times New Roman"/>
          <w:b w:val="false"/>
          <w:i w:val="false"/>
          <w:color w:val="000000"/>
          <w:sz w:val="28"/>
        </w:rPr>
        <w:t>
с Евразийской экономической комиссией</w:t>
      </w:r>
    </w:p>
    <w:bookmarkEnd w:id="54"/>
    <w:bookmarkStart w:name="z222" w:id="55"/>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идентификаторов криптографических алгоритмов, используемых при</w:t>
      </w:r>
      <w:r>
        <w:br/>
      </w:r>
      <w:r>
        <w:rPr>
          <w:rFonts w:ascii="Times New Roman"/>
          <w:b w:val="false"/>
          <w:i w:val="false"/>
          <w:color w:val="000000"/>
          <w:sz w:val="28"/>
        </w:rPr>
        <w:t>
</w:t>
      </w:r>
      <w:r>
        <w:rPr>
          <w:rFonts w:ascii="Times New Roman"/>
          <w:b/>
          <w:i w:val="false"/>
          <w:color w:val="000000"/>
          <w:sz w:val="28"/>
        </w:rPr>
        <w:t>формировании электронной цифровой подписи (электронной подписи)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1"/>
        <w:gridCol w:w="3293"/>
        <w:gridCol w:w="2886"/>
      </w:tblGrid>
      <w:tr>
        <w:trPr>
          <w:trHeight w:val="27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URI-идентификатор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OID-идентификатор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стандарта</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Для алгоритмов вычисления значения ЭЦП</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http://www.w3.org/2001/04/xmldsig-more#gostr3410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1.2.398.3.10.1.1.1.2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34.310-2004 «Информационная технология. Криптографическая защита информации. Процессы формирования и проверки электронной цифровой подписи»</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http://www.w3.org/2001/04/xmldsig-more#gostr34102001-gostr3411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1.2.643.2.2.3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34.10-2001 «Информационная технология. Криптографическая защита информации. Процессы формирования и проверки электронной цифровой подписи»</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urn:EAEU:Signature:gostr34.10-2012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1.2.643.7.1.1.1.2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34.10-2012 «Информационная технология. Криптографическая защита информации. Процессы формирования и проверки электронной цифровой подписи»</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urn:EAEU:Signature:bign-with-hspec</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1.2.112.0.2.0.34.101.45.11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34.101.45-2013 «Информационные технологии и безопасность. Алгоритмы электронной цифровой подписи и транспорта ключа на основе эллиптических кривых» - алгоритм ЭЦП с функцией хэширования, определяемой долговременными параметрами»</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urn:EAEU:Signature:bign-with-hbelt</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1.2.112.0.2.0.34.101.45.12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34.101.45-2013 «Информационные технологии и безопасность. Алгоритмы электронной цифровой подписи и транспорта ключа на основе эллиптических кривых» - алгоритм ЭЦП с функцией  хэширования, заданной алгоритмом belt-hash</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urn:EAEU:Signature:bign-ibs-with-hspec</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1.2.112.0.2.0.34.101.45.71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34.101.45-2013 «Информационные технологии и безопасность. Алгоритмы электронной цифровой подписи и транспорта ключа на основе эллиптических кривых» - алгоритм идентификационной ЭЦП с функцией хэширования, определяемой долговременными параметрами</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urn:EAEU:Signature:bign-ibs-with-hbelt</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1.2.112.0.2.0.34.101.45.72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34.101.45-2013 «Информационные  технологии и безопасность. Алгоритмы электронной цифровой подписи и транспорта ключа на основе эллиптических кривых» - алгоритм идентификационной ЭЦП с функцией хэширования, заданной алгоритмом belt-hash</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Для алгоритмов вычисления хэш-суммы</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urn:EAEU:Digest:gost34.311-95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1.2.398.3.10.1.3.1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34.311-95 «Информационная технология. Криптографическая защита информации. Функция хэширования»</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urn:EAEU:Digest:gostr34.11-2012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1.2.643.7.1.1.2.3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34.11-2012 «Информационная технология. Криптографическая защита информации. Функция хэширования»</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http://www.w3.org/2001/04/xmldsig-more#gostr3411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1.2.643.2.2.9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34.11-94 «Информационная технология. Криптографическая защита информации. Функция хэширования»</w:t>
            </w:r>
          </w:p>
        </w:tc>
      </w:tr>
      <w:tr>
        <w:trPr>
          <w:trHeight w:val="54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urn:EAEU:Digest:belt-hash256}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1.2.112.0.2.0.34.101.31.81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34.101.31-2011 «Информационные технологии и безопасность. Криптографические алгоритмы шифрования и контроля целостности»</w:t>
            </w:r>
          </w:p>
        </w:tc>
      </w:tr>
    </w:tbl>
    <w:bookmarkStart w:name="z223" w:id="56"/>
    <w:p>
      <w:pPr>
        <w:spacing w:after="0"/>
        <w:ind w:left="0"/>
        <w:jc w:val="both"/>
      </w:pPr>
      <w:r>
        <w:rPr>
          <w:rFonts w:ascii="Times New Roman"/>
          <w:b w:val="false"/>
          <w:i w:val="false"/>
          <w:color w:val="000000"/>
          <w:sz w:val="28"/>
        </w:rPr>
        <w:t xml:space="preserve">
ПРИЛОЖЕНИЕ № 9          </w:t>
      </w:r>
      <w:r>
        <w:br/>
      </w:r>
      <w:r>
        <w:rPr>
          <w:rFonts w:ascii="Times New Roman"/>
          <w:b w:val="false"/>
          <w:i w:val="false"/>
          <w:color w:val="000000"/>
          <w:sz w:val="28"/>
        </w:rPr>
        <w:t>
к Положению об обмене электронными</w:t>
      </w:r>
      <w:r>
        <w:br/>
      </w:r>
      <w:r>
        <w:rPr>
          <w:rFonts w:ascii="Times New Roman"/>
          <w:b w:val="false"/>
          <w:i w:val="false"/>
          <w:color w:val="000000"/>
          <w:sz w:val="28"/>
        </w:rPr>
        <w:t xml:space="preserve">
документами при трансграничном  </w:t>
      </w:r>
      <w:r>
        <w:br/>
      </w:r>
      <w:r>
        <w:rPr>
          <w:rFonts w:ascii="Times New Roman"/>
          <w:b w:val="false"/>
          <w:i w:val="false"/>
          <w:color w:val="000000"/>
          <w:sz w:val="28"/>
        </w:rPr>
        <w:t>
взаимодействии органов государственной</w:t>
      </w:r>
      <w:r>
        <w:br/>
      </w:r>
      <w:r>
        <w:rPr>
          <w:rFonts w:ascii="Times New Roman"/>
          <w:b w:val="false"/>
          <w:i w:val="false"/>
          <w:color w:val="000000"/>
          <w:sz w:val="28"/>
        </w:rPr>
        <w:t>
власти государств – членов Евразийского</w:t>
      </w:r>
      <w:r>
        <w:br/>
      </w:r>
      <w:r>
        <w:rPr>
          <w:rFonts w:ascii="Times New Roman"/>
          <w:b w:val="false"/>
          <w:i w:val="false"/>
          <w:color w:val="000000"/>
          <w:sz w:val="28"/>
        </w:rPr>
        <w:t xml:space="preserve">
экономического союза между собой и </w:t>
      </w:r>
      <w:r>
        <w:br/>
      </w:r>
      <w:r>
        <w:rPr>
          <w:rFonts w:ascii="Times New Roman"/>
          <w:b w:val="false"/>
          <w:i w:val="false"/>
          <w:color w:val="000000"/>
          <w:sz w:val="28"/>
        </w:rPr>
        <w:t>
с Евразийской экономической комиссией</w:t>
      </w:r>
    </w:p>
    <w:bookmarkEnd w:id="56"/>
    <w:bookmarkStart w:name="z224" w:id="57"/>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логических операций и событий, возникающих при обработке</w:t>
      </w:r>
      <w:r>
        <w:br/>
      </w:r>
      <w:r>
        <w:rPr>
          <w:rFonts w:ascii="Times New Roman"/>
          <w:b w:val="false"/>
          <w:i w:val="false"/>
          <w:color w:val="000000"/>
          <w:sz w:val="28"/>
        </w:rPr>
        <w:t>
   </w:t>
      </w:r>
      <w:r>
        <w:rPr>
          <w:rFonts w:ascii="Times New Roman"/>
          <w:b/>
          <w:i w:val="false"/>
          <w:color w:val="000000"/>
          <w:sz w:val="28"/>
        </w:rPr>
        <w:t>электронных сообщений и электронных документов доверенной</w:t>
      </w:r>
      <w:r>
        <w:br/>
      </w:r>
      <w:r>
        <w:rPr>
          <w:rFonts w:ascii="Times New Roman"/>
          <w:b w:val="false"/>
          <w:i w:val="false"/>
          <w:color w:val="000000"/>
          <w:sz w:val="28"/>
        </w:rPr>
        <w:t>
        </w:t>
      </w:r>
      <w:r>
        <w:rPr>
          <w:rFonts w:ascii="Times New Roman"/>
          <w:b/>
          <w:i w:val="false"/>
          <w:color w:val="000000"/>
          <w:sz w:val="28"/>
        </w:rPr>
        <w:t>третьей стороной и отражаемых в журнале аудита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5416"/>
        <w:gridCol w:w="7042"/>
      </w:tblGrid>
      <w:tr>
        <w:trPr>
          <w:trHeight w:val="48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Текстовое описание записи</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(событие) и примечание к нему</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OP1000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считано. Тип сообщения: &lt;Тип&gt;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считывание сообщения на транспортном уровне. В поле &lt;Тип&gt; указывается значение «MIME», если сообщение содержит MIME-части, или значение «SOAP», если MIME-части в сообщении отсутствуют </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OP1100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Электронное сообщение принято в обработку.</w:t>
            </w:r>
            <w:r>
              <w:br/>
            </w:r>
            <w:r>
              <w:rPr>
                <w:rFonts w:ascii="Times New Roman"/>
                <w:b w:val="false"/>
                <w:i w:val="false"/>
                <w:color w:val="000000"/>
                <w:sz w:val="20"/>
              </w:rPr>
              <w:t>
</w:t>
            </w:r>
            <w:r>
              <w:rPr>
                <w:rFonts w:ascii="Times New Roman"/>
                <w:b w:val="false"/>
                <w:i w:val="false"/>
                <w:color w:val="000000"/>
                <w:sz w:val="20"/>
              </w:rPr>
              <w:t>Заголовки сообщения: wsa:To: &lt;значение заголовка wsa:To&gt;; wsa:ReplyTo: &lt;значение заголовка wsa:ReplyTo&gt;; wsa:Action: &lt;значение заголовка wsa:Action&gt;; wsa:MessageID: &lt;значение заголовка wsa:MessageID&gt;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 разбор блока заголовков сообщения, а также определено, что сообщение имеет блок содержимого (soap:Body). В полях типа &lt;значение заголовка…&gt; указываются значения соответствующих заголовков SOAP-сообщения </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OP1200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документ принят в обработку. Идентификатор сообщения: &lt;значение заголовка wsa:MessageID&gt;; идентификатор электронного документа: &lt;DocInstance&gt;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 считывание электронного документа из блока содержимого сообщения и произведен разбор его полей. В поле &lt;DocInstance&gt; указывается уникальный идентификатор электронного документа</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OPS5100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Целостность данных, заверенных ЭЦП, проверена по хэшу. Идентификатор электронного документа: &lt;DocInstance&gt;; идентификатор ЭЦП: &lt;ID подписи&gt;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только доверенной третьей стороной отправителя. Выполнено сопоставление значений хэша, указанных в составе ЭЦП, и значений хэша, сформированных доверенной третьей стороной на основе сведений, указанных в ЭЦП. В поле &lt;DocInstance&gt; указывается уникальный идентификатор электронного документа. В поле &lt;ID подписи&gt; указывается идентификатор ЭЦП ds:Signature/@Id</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OPS5200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ЭЦП проверено. Идентификатор электронного документа: &lt;DocInstance&gt;; идентификатор ЭЦП: &lt;ID подписи&gt;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только доверенной третьей стороной отправителя. Выполнена проверка того, что значение ЭЦП выработано с использованием закрытого (личного) ключа, соответствующий сертификат открытого ключа которого (сертификат ключа проверки ЭЦП) указан в составе этой ЭЦП. В поле &lt;DocInstance&gt; указывается уникальный идентификатор электронного документа. В поле &lt;ID подписи&gt; указывается идентификатор ЭЦП ds:Signature/@Id</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OPS5300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проверен. Идентификатор электронного документа: &lt;DocInstance&gt;; идентификатор ЭЦП: &lt;ID подписи&gt;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только доверенной третьей стороной отправителя. Выполнена проверка того, что сертификат ключа проверки ЭЦП и каждый сертификат удостоверяющего центра из цепочки сертификатов действительны на момент подписания электронного документа. В поле &lt;DocInstance&gt; указывается уникальный идентификатор электронного документа. В поле &lt;ID подписи&gt; указывается идентификатор ЭЦП ds:Signature/@Id</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OPR5100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Целостность электронного документа, заверенного квитанцией ДТС отправителя, а также блоков данных, указанных в составе ЭЦП квитанции, проверена. Идентификатор электронного документа: &lt;DocInstance&gt;; идентификатор квитанции ДТС отправителя: &lt;ReceiptId&gt;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только доверенной третьей стороной отправителя. Проверена целостность всех блоков данных, включая блок содержимого электронного документа, исходя из значений хэшей блоков, содержащихся в квитанции. В поле &lt;DocInstance&gt; указывается уникальный идентификатор электронного документа. В поле &lt;ReceiptId&gt; указывается уникальный идентификатор квитанции доверенной третьей стороны отправителя (значение элемента rcpt:ReceiptId)</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OPR5200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ЭЦП квитанции ДТС отправителя проверено. Идентификатор электронного документа: &lt;DocInstance&gt;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только доверенной третьей стороной получателя. Выполнена проверка того, что значение ЭЦП в квитанции доверенной третьей стороны отправителя выработано с использованием закрытого (личного) ключа доверенной третьей стороны отправителя, соответствующий сертификат открытого ключа которого (сертификат ключа проверки ЭЦП) указан в составе этой ЭЦП. В поле &lt;DocInstance&gt; указывается уникальный идентификатор электронного документа. В поле &lt;ID подписи&gt; указывается идентификатор ЭЦП ds:Signature/@Id</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OPR5300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квитанции проверен. Идентификатор электронного документа: &lt;DocInstance&gt;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только доверенной третьей стороной получателя. Выполнена проверка того, что сертификат ключа проверки ЭЦП доверенной третьей стороны отправителя изготовлен удостоверяющим центром службы доверенной третьей стороны, действителен на момент подписания квитанции доверенной третьей стороны отправителя, а также сертификат ключа проверки ЭЦП удостоверяющего центра службы доверенной третьей стороны действителен на момент подписания квитанции доверенной третьей стороны отправителя. В поле &lt;DocInstance&gt; указывается уникальный идентификатор электронного документа </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OP10000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Квитанция ДТС сформирована. Идентификатор электронного документа: &lt;DocInstance&gt;; идентификатор квитанции: &lt;ReceiptId&gt;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 формирование структуры квитанции, все поля квитанции успешно заполнены. В поле &lt;DocInstance&gt; указывается уникальный идентификатор электронного документа. В поле &lt;ReceiptId&gt; указывается уникальный идентификатор квитанции (значение элемента rcpt:ReceiptId)</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OP10100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Квитанция ДТС вложена в структуру электронного документа. Идентификатор электронного документа: &lt;DocInstance&gt;; идентификатор квитанции: &lt;ReceiptId&gt;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квитанция доверенной третьей стороны вложена в XML-структуру электронного документа. В поле &lt;DocInstance&gt; указывается уникальный идентификатор электронного документа. В поле &lt;ReceiptId&gt; указывается уникальный идентификатор квитанции (значение элемента rcpt:ReceiptId)</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OP10200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Сформировано ответное сообщение для интеграционного шлюза. Идентификатор электронного документа: &lt;DocInstance&gt;. Заголовки сообщения: wsa:To: &lt;значение заголовка wsa:To&gt;; wsa:From: &lt;значение заголовка wsa:From&gt;; wsa:Action: &lt;значение заголовка wsa:Action&gt;; wsa:MessageID: &lt;значение заголовка wsa:MessageID&gt;; wsa:RelatesTo: &lt;значение заголовка wsa: RelatesTo&gt;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сформировано ответное сообщение для интеграционного шлюза, содержащее электронный документ с вложенной квитанцией. В поле &lt;DocInstance&gt; указывается уникальный идентификатор электронного документа. В полях типа &lt;значение заголовка…&gt; указываются значения соответствующих заголовков ответного SOAP-сообщения</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OP10300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Cформировано технологическое сообщение об ошибке. Идентификатор электронного документа: &lt;DocInstance&gt;. Заголовки сообщения: wsa:To: &lt;значение заголовка wsa:To&gt;; wsa:From: &lt;значение заголовка wsa:From&gt;; wsa:Action: &lt;значение заголовка wsa:Action&gt;; wsa:MessageID: &lt;значение заголовка wsa:MessageID&gt;; wsa:RelatesTo: &lt;значение заголовка wsa: RelatesTo&gt;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сформировано технологическое сообщение об ошибке. В случае если технологическое сообщение об ошибке свидетельствует об операции, выполняемой после того, как документ взят в обработку (ОP1200), в поле &lt;DocInstance&gt; указывается уникальный идентификатор электронного документа, в противном случае идентификатор электронного документа не указывается. В полях типа &lt;значение заголовка…&gt; указываются значения соответствующих заголовков ответного SOAP-сообщения</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OP10400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для интеграционного шлюза успешно отправлено. Идентификатор электронного документа: &lt;DocInstance&gt;. Идентификатор сообщения wsa:MessageID: &lt;значение заголовка wsa:MessageID&gt;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ответное сообщение с электронным документом и квитанцией либо технологическое сообщение об ошибке успешно отправлено в интеграционный шлюз. В поле &lt;DocInstance&gt; указывается уникальный идентификатор электронного документа. В поле &lt;значение заголовка </w:t>
            </w:r>
            <w:r>
              <w:rPr>
                <w:rFonts w:ascii="Times New Roman"/>
                <w:b w:val="false"/>
                <w:i w:val="false"/>
                <w:color w:val="000000"/>
                <w:sz w:val="20"/>
              </w:rPr>
              <w:t>wsa:MessageID&gt; указывается значение заголовка wsa:MessageID ответного SOAP-сообщения</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ERR1000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транспортного сообщения определить не удалось</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считывании транспортного сообщения (OP1000) не удалось определить формат представления данных </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ERR1100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удалось разобрать сообщение в формате SOAP. &lt;Причина&gt;. Уникальный идентификатор сообщения wsa:MessageID: &lt;значение заголовка wsa:MessageID&gt;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разбора сообщения в формате SOAP (OP1100) возникла ошибка. В поле &lt;Причина&gt; указывается текстовое описание причины ошибки, если причину ошибки удалось определить: сообщение парсера XML об ошибке, уведомление об отсутствии требуемых заголовков сообщения в формате SOAP в соответствии с Правилами электронного обмена данными в интегрированной информационной системе внешней и взаимной торговли, утвержденными Решением Коллегии Евразийской экономической комиссии от 27 января 2015 г. № 5. В поле &lt;значение заголовка wsa:MessageID&gt; указывается значение соответствующего заголовка сообщения, если в процессе разбора сообщения его удалось считать</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ERR1200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Ошибка обработки структуры электронного документа. &lt;Причина&gt;. Уникальный идентификатор сообщения wsa:MessageID: &lt;значение заголовка wsa:MessageID&gt;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обработке электронного документа обнаружено, что его структура не соответствует установленым требованиям. В поле &lt;Причина&gt; указывается текстовое описание причины ошибки, если причину ошибки удалось определить: сообщение парсера XML об ошибке, сведения о некорректном заполнении атрибутов или элементов электронного документа. В поле &lt;значение заголовка wsa:MessageID&gt; указывается значение соответствующего заголовка сообщения</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ERR1300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Ошибка проверки ЭЦП документа. &lt;Причина&gt;. Идентификатор электронного документа: &lt;DocInstance&gt;; идентификатор ЭЦП: &lt;ID подписи&gt;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проверке ЭЦП электронного документа возникла ошибка. В поле &lt;Причина&gt; указывается текстовое описание причины ошибки, если причину ошибки удалось определить: несоответствие хэша, указанного в составе ЭЦП, хэшу, сформированному доверенной третьей стороной; недействующий сертификат ключа проверки ЭЦП; один из сертификатов удостоверяющих центров из цепочки сертификатов недействителен на момент подписания; ошибки проверки элементов и атрибутов ЭЦП в соответствии с требованиями стандарта XAdES </w:t>
            </w:r>
            <w:r>
              <w:rPr>
                <w:rFonts w:ascii="Times New Roman"/>
                <w:b w:val="false"/>
                <w:i w:val="false"/>
                <w:color w:val="000000"/>
                <w:sz w:val="20"/>
              </w:rPr>
              <w:t>(если ЭЦП сформирована согласно стандарту XAdES). В поле &lt;DocInstance&gt; указывается уникальный идентификатор электронного документа. В поле &lt;ID подписи&gt; доверенной третьей стороной отправителя указывается идентификатор ЭЦП, доверенной третьей стороной получателя – идентификатор квитанции</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ERR1400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Ошибка проверки квитанции. &lt;Причина&gt;. Идентификатор электронного документа: &lt;DocInstance&gt;; идентификатор квитанции: &lt;ReceiptId&gt;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проверке квитанции, включая ЭЦП квитанции, возникла ошибка.</w:t>
            </w:r>
            <w:r>
              <w:br/>
            </w:r>
            <w:r>
              <w:rPr>
                <w:rFonts w:ascii="Times New Roman"/>
                <w:b w:val="false"/>
                <w:i w:val="false"/>
                <w:color w:val="000000"/>
                <w:sz w:val="20"/>
              </w:rPr>
              <w:t>
</w:t>
            </w:r>
            <w:r>
              <w:rPr>
                <w:rFonts w:ascii="Times New Roman"/>
                <w:b w:val="false"/>
                <w:i w:val="false"/>
                <w:color w:val="000000"/>
                <w:sz w:val="20"/>
              </w:rPr>
              <w:t>В поле &lt;Причина&gt; указывается текстовое описание причины ошибки: несоответствие хэша, указанного в составе ЭЦП, хэшу, сформированному доверенной третьей стороной; ошибка проверки значения ЭЦП, недействующий сертификат ключа проверки ЭЦП доверенной третьей стороны отправителя или удостоверяющего центра службы доверенной третьей стороны, ошибка проверки штампа времени в квитанции. В поле &lt;DocInstance&gt; указывается уникальный идентификатор электронного документа. В поле &lt;ReceiptId&gt; указывается уникальный идентификатор квитанции доверенной третьей стороны отправителя (значение элемента rcpt:ReceiptId)</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ERR1500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Ошибка обращения к сервису штампа времени. &lt;Причина&gt;. Идентификатор электронного документа: &lt;DocInstance&gt;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формировании квитанции возникла ошибка обращения к сервису штампа времени. В поле &lt;Причина&gt; указывается текстовое описание причины ошибки: сервис недоступен, сервис в качестве ответа возвратил ошибку (с указанием кода ошибки). В поле &lt;DocInstance&gt; указывается уникальный идентификатор электронного документа</w:t>
            </w:r>
          </w:p>
        </w:tc>
      </w:tr>
      <w:tr>
        <w:trPr>
          <w:trHeight w:val="5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ERR1600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для интеграционного шлюза не удалось отправить. &lt;Причина&gt;. Уникальный идентификатор сообщения wsa:MessageID: &lt;значение заголовка wsa:MessageID&gt;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попытке отправки сообщения возникла ошибка. В поле &lt;Причина&gt; указывается текстовое описание причины ошибки: сообщение не удалось поставить в очередь, транспортная подсистема или транспортный адаптер доверенной третьей стороны недоступен. В поле &lt;значение заголовка wsa:MessageID&gt; указывается значение соответствующего заголовка сообщения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2301"/>
      </w:tblGrid>
      <w:tr>
        <w:trPr>
          <w:trHeight w:val="103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c>
          <w:tcPr>
            <w:tcW w:w="1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Каждая запись журнала должна включать как минимум следующие поля:</w:t>
            </w:r>
            <w:r>
              <w:br/>
            </w:r>
            <w:r>
              <w:rPr>
                <w:rFonts w:ascii="Times New Roman"/>
                <w:b w:val="false"/>
                <w:i w:val="false"/>
                <w:color w:val="000000"/>
                <w:sz w:val="20"/>
              </w:rPr>
              <w:t>
</w:t>
            </w:r>
            <w:r>
              <w:rPr>
                <w:rFonts w:ascii="Times New Roman"/>
                <w:b w:val="false"/>
                <w:i w:val="false"/>
                <w:color w:val="000000"/>
                <w:sz w:val="20"/>
              </w:rPr>
              <w:t>код логической операции (события);</w:t>
            </w:r>
            <w:r>
              <w:br/>
            </w:r>
            <w:r>
              <w:rPr>
                <w:rFonts w:ascii="Times New Roman"/>
                <w:b w:val="false"/>
                <w:i w:val="false"/>
                <w:color w:val="000000"/>
                <w:sz w:val="20"/>
              </w:rPr>
              <w:t>
</w:t>
            </w:r>
            <w:r>
              <w:rPr>
                <w:rFonts w:ascii="Times New Roman"/>
                <w:b w:val="false"/>
                <w:i w:val="false"/>
                <w:color w:val="000000"/>
                <w:sz w:val="20"/>
              </w:rPr>
              <w:t>дата и время фиксации логической операции (события);</w:t>
            </w:r>
            <w:r>
              <w:br/>
            </w:r>
            <w:r>
              <w:rPr>
                <w:rFonts w:ascii="Times New Roman"/>
                <w:b w:val="false"/>
                <w:i w:val="false"/>
                <w:color w:val="000000"/>
                <w:sz w:val="20"/>
              </w:rPr>
              <w:t>
</w:t>
            </w:r>
            <w:r>
              <w:rPr>
                <w:rFonts w:ascii="Times New Roman"/>
                <w:b w:val="false"/>
                <w:i w:val="false"/>
                <w:color w:val="000000"/>
                <w:sz w:val="20"/>
              </w:rPr>
              <w:t>текстовое описание выполненной логической операции (события).</w:t>
            </w:r>
          </w:p>
        </w:tc>
      </w:tr>
      <w:tr>
        <w:trPr>
          <w:trHeight w:val="72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Допускается изменять степень детализации записи сведений в журнал аудита, включая перечень логических операций и событий, и текстовое описание записей в журнале.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