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a68422" w14:textId="3a6842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применении антидемпинговой меры в отношении гусеничных бульдозеров с неповоротным и поворотным отвалом мощностью до 250 л. с., происходящих из Китайской Народной Республики и ввозимых на таможенную территорию Евразийского экономического союза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10 ноября 2015 года № 148.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c </w:t>
      </w:r>
      <w:r>
        <w:rPr>
          <w:rFonts w:ascii="Times New Roman"/>
          <w:b w:val="false"/>
          <w:i w:val="false"/>
          <w:color w:val="000000"/>
          <w:sz w:val="28"/>
        </w:rPr>
        <w:t>пунктом 107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Протокола о применении специальных защитных, антидемпинговых и компенсационных мер по отношению к третьим странам (</w:t>
      </w:r>
      <w:r>
        <w:rPr>
          <w:rFonts w:ascii="Times New Roman"/>
          <w:b w:val="false"/>
          <w:i w:val="false"/>
          <w:color w:val="000000"/>
          <w:sz w:val="28"/>
        </w:rPr>
        <w:t>приложение №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Договору о Евразийском экономическом союзе от 29 мая 2014 года) и на основании доклада Департамента защиты внутреннего рынка Евразийской экономической комиссии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Применить антидемпинговую меру посредством введения антидемпинговой пошлины в размере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в отношении ввозимых на таможенную территорию Евразийского экономического союза гусеничных бульдозеров с неповоротным и поворотным отвалом мощностью до 250 л. с., происходящих из Китайской Народной Республики и классифицируемых кодом 8429 11 009 0 ТН ВЭД ЕАЭС, установив срок действия данной антидемпинговой меры 5 лет.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Государственным органам государств – членов Евразийского экономического союза, уполномоченным в сфере таможенного дела, обеспечить взимание антидемпинговой пошлины, предусмотренной настоящим Решением, руководствуясь как кодом ТН ВЭД ЕАЭС, так и наименованием товара.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по истечении 30 календарных дней с даты его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Коллегии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Евразийской экономической комиссии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Христенко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Коллегии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ноября 2015 г. № 148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РАЗМЕРЫ СТАВОК</w:t>
      </w:r>
      <w:r>
        <w:br/>
      </w:r>
      <w:r>
        <w:rPr>
          <w:rFonts w:ascii="Times New Roman"/>
          <w:b/>
          <w:i w:val="false"/>
          <w:color w:val="000000"/>
        </w:rPr>
        <w:t>антидемпинговой пошлины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Размеры ставок с изменением, внесенным решением Коллегии Евразийской экономической комиссии от 20.11.2018 </w:t>
      </w:r>
      <w:r>
        <w:rPr>
          <w:rFonts w:ascii="Times New Roman"/>
          <w:b w:val="false"/>
          <w:i w:val="false"/>
          <w:color w:val="ff0000"/>
          <w:sz w:val="28"/>
        </w:rPr>
        <w:t>№ 188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67"/>
        <w:gridCol w:w="1271"/>
        <w:gridCol w:w="8962"/>
      </w:tblGrid>
      <w:tr>
        <w:trPr>
          <w:trHeight w:val="30" w:hRule="atLeast"/>
        </w:trPr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товара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Производитель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ставки антидемпинговой пошлины (процентов от таможенной стоимости)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05"/>
        <w:gridCol w:w="10600"/>
        <w:gridCol w:w="695"/>
      </w:tblGrid>
      <w:tr>
        <w:trPr>
          <w:trHeight w:val="30" w:hRule="atLeast"/>
        </w:trPr>
        <w:tc>
          <w:tcPr>
            <w:tcW w:w="1005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Гусеничные бульдозеры с неповоротным и поворотным отвалом мощностью до 250 л. с.</w:t>
            </w:r>
          </w:p>
        </w:tc>
        <w:tc>
          <w:tcPr>
            <w:tcW w:w="10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Xuanhua Construction Machinery Co., Ltd (No. 21, Dongsheng Road, Xuanhua, Hebei Province, China)</w:t>
            </w:r>
          </w:p>
        </w:tc>
        <w:tc>
          <w:tcPr>
            <w:tcW w:w="6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9,65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10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Shantui Construction Machinery Co., Ltd (No. 58, Highway G327, High-Tech District, Jining City, Shandong Province, China)</w:t>
            </w:r>
          </w:p>
        </w:tc>
        <w:tc>
          <w:tcPr>
            <w:tcW w:w="6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11,31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10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Shanxi Zoomlion Heavy Industry Science &amp; Technology Machinery Co., Ltd (Guanbei Village, Huayin City, Shanxi Province, China)</w:t>
            </w:r>
          </w:p>
        </w:tc>
        <w:tc>
          <w:tcPr>
            <w:tcW w:w="6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13,80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10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Tianjin Liugong Machinery Co., Ltd. (No. 203, Jingsan Road, Tianjin Airport Economic Area, China)</w:t>
            </w:r>
          </w:p>
        </w:tc>
        <w:tc>
          <w:tcPr>
            <w:tcW w:w="6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44,65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10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6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44,65</w:t>
            </w:r>
          </w:p>
        </w:tc>
      </w:tr>
      <w:tr>
        <w:trPr>
          <w:trHeight w:val="30" w:hRule="atLeast"/>
        </w:trPr>
        <w:tc>
          <w:tcPr>
            <w:tcW w:w="10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Caterpillar (Qingzhou) Ltd. (No. 12999 Nanhuan Road, Qingzhou City, Shandong Province, China, 262500)</w:t>
            </w:r>
          </w:p>
        </w:tc>
        <w:tc>
          <w:tcPr>
            <w:tcW w:w="6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