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f1b" w14:textId="870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19 главы II Единых санитарно-эпидемиологических и гигиенических требований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 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товарам, подлежащим санитарно-эпидемиологическому надзору (контролю), утвержденных Решением Комиссии Таможенного союза от 28 мая 2010 г. № 299, дополнить пунктом 4.4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«4.4. Не допускается содержание метилового спирта (массовая доля) в охлаждающих жидкостях (код 3820 00 000 0 ТН ВЭД ЕАЭС) более 0,05 %».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решения Совета Евразийской экономической комиссии о внесении изменений в части установления показателя содержания метилового спирта (массовой доли) в охлаждающих жидкостях (код 3820 00 000 0 ТН ВЭД ЕАЭС) на уровне не более 0,05 % в технический регламент Таможенного союза «О требованиях к смазочным материалам, маслам и специальным жидкостям» (ТР ТС 030/2012), но не ранее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