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5f1b" w14:textId="8705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19 главы II Единых санитарно-эпидемиологических и гигиенических требований к товарам, подлежащим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декабря 2015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 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Раздел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II Единых санитарно-эпидемиологических и гигиенических требований к товарам, подлежащим санитарно-эпидемиологическому надзору (контролю), утвержденных Решением Комиссии Таможенного союза от 28 мая 2010 г. № 299, дополнить пунктом 4.4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«4.4. Не допускается содержание метилового спирта (массовая доля) в охлаждающих жидкостях (код 3820 00 000 0 ТН ВЭД ЕАЭС) более 0,05 %».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решения Совета Евразийской экономической комиссии о внесении изменений в части установления показателя содержания метилового спирта (массовой доли) в охлаждающих жидкостях (код 3820 00 000 0 ТН ВЭД ЕАЭС) на уровне не более 0,05 % в технический регламент Таможенного союза «О требованиях к смазочным материалам, маслам и специальным жидкостям» (ТР ТС 030/2012), но не ранее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