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031f" w14:textId="7190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листов из полимеров стирола и отдельных видов пленки из полимеров винилхлорида и полиэтилентерефталата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23.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Евразийского экономического союза примечанием 41С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"41С)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8 мая 2015 г.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31.12.2016 включительно.".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23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исключаемые из единой Товарной номенклатуры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полимеров стирола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толщиной не более 1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пленка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толщиной более 0,35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23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включаемые в единую Товарную номенклатуру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полимеров стирола: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-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-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толщиной не более 1 мм: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3920 43 100 1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-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3920 43 100 9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толщиной более 0,35 мм: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3920 62 190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23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ввозных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таможенного тарифа 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3920 43 100 1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3920 43 100 9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