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e378" w14:textId="7a5e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отдельных документов в целях маркировки товаров товарной позиции "Предметы одежды, принадлежности к одежде и прочие изделия, из натурального меха</w:t>
      </w:r>
    </w:p>
    <w:p>
      <w:pPr>
        <w:spacing w:after="0"/>
        <w:ind w:left="0"/>
        <w:jc w:val="both"/>
      </w:pPr>
      <w:r>
        <w:rPr>
          <w:rFonts w:ascii="Times New Roman"/>
          <w:b w:val="false"/>
          <w:i w:val="false"/>
          <w:color w:val="000000"/>
          <w:sz w:val="28"/>
        </w:rPr>
        <w:t>Решение Совета Евразийской экономической комиссии от 02 декабря 2015 года № 86.</w:t>
      </w:r>
    </w:p>
    <w:p>
      <w:pPr>
        <w:spacing w:after="0"/>
        <w:ind w:left="0"/>
        <w:jc w:val="both"/>
      </w:pPr>
      <w:r>
        <w:rPr>
          <w:rFonts w:ascii="Times New Roman"/>
          <w:b w:val="false"/>
          <w:i w:val="false"/>
          <w:color w:val="ff0000"/>
          <w:sz w:val="28"/>
        </w:rPr>
        <w:t xml:space="preserve">
      Сноска. Заголовок в редакции решения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обеспечения маркировки товаров товарной позиции "Предметы одежды, принадлежности к одежде и прочие изделия, из натурального меха",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 контрольными (идентификационными) знаками в соответствии с Соглашением о маркировке товаров средствами идентификации в Евразийском экономическом союзе от 2 февраля 2018 года (далее – Соглашение)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требования к формату, составу и структуре сведений о маркированных товарах товарной позиции "Предметы одежды, принадлежности к одежде и прочие изделия, из натурального меха",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 – членов Евразийского экономического союза и Евразийской экономической комиссией (далее –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72" w:id="2"/>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Определить в соответствии с подпунктом "д" пункта 1 статьи 5 Соглашения следующий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(юридическим и физическим лицам):</w:t>
      </w:r>
    </w:p>
    <w:bookmarkEnd w:id="2"/>
    <w:p>
      <w:pPr>
        <w:spacing w:after="0"/>
        <w:ind w:left="0"/>
        <w:jc w:val="both"/>
      </w:pPr>
      <w:r>
        <w:rPr>
          <w:rFonts w:ascii="Times New Roman"/>
          <w:b w:val="false"/>
          <w:i w:val="false"/>
          <w:color w:val="000000"/>
          <w:sz w:val="28"/>
        </w:rPr>
        <w:t xml:space="preserve">
      а) наименование товара; </w:t>
      </w:r>
    </w:p>
    <w:p>
      <w:pPr>
        <w:spacing w:after="0"/>
        <w:ind w:left="0"/>
        <w:jc w:val="both"/>
      </w:pPr>
      <w:r>
        <w:rPr>
          <w:rFonts w:ascii="Times New Roman"/>
          <w:b w:val="false"/>
          <w:i w:val="false"/>
          <w:color w:val="000000"/>
          <w:sz w:val="28"/>
        </w:rPr>
        <w:t>
      б) разновидность товара (вид меха, цвет, размер, модель);</w:t>
      </w:r>
    </w:p>
    <w:p>
      <w:pPr>
        <w:spacing w:after="0"/>
        <w:ind w:left="0"/>
        <w:jc w:val="both"/>
      </w:pPr>
      <w:r>
        <w:rPr>
          <w:rFonts w:ascii="Times New Roman"/>
          <w:b w:val="false"/>
          <w:i w:val="false"/>
          <w:color w:val="000000"/>
          <w:sz w:val="28"/>
        </w:rPr>
        <w:t>
      в) бренд;</w:t>
      </w:r>
    </w:p>
    <w:p>
      <w:pPr>
        <w:spacing w:after="0"/>
        <w:ind w:left="0"/>
        <w:jc w:val="both"/>
      </w:pPr>
      <w:r>
        <w:rPr>
          <w:rFonts w:ascii="Times New Roman"/>
          <w:b w:val="false"/>
          <w:i w:val="false"/>
          <w:color w:val="000000"/>
          <w:sz w:val="28"/>
        </w:rPr>
        <w:t>
      г) изображение товара (при наличии);</w:t>
      </w:r>
    </w:p>
    <w:p>
      <w:pPr>
        <w:spacing w:after="0"/>
        <w:ind w:left="0"/>
        <w:jc w:val="both"/>
      </w:pPr>
      <w:r>
        <w:rPr>
          <w:rFonts w:ascii="Times New Roman"/>
          <w:b w:val="false"/>
          <w:i w:val="false"/>
          <w:color w:val="000000"/>
          <w:sz w:val="28"/>
        </w:rPr>
        <w:t>
      д) идентификатор контрольного (идентификационного) знака;</w:t>
      </w:r>
    </w:p>
    <w:p>
      <w:pPr>
        <w:spacing w:after="0"/>
        <w:ind w:left="0"/>
        <w:jc w:val="both"/>
      </w:pPr>
      <w:r>
        <w:rPr>
          <w:rFonts w:ascii="Times New Roman"/>
          <w:b w:val="false"/>
          <w:i w:val="false"/>
          <w:color w:val="000000"/>
          <w:sz w:val="28"/>
        </w:rPr>
        <w:t>
      е) страна происхождения товара;</w:t>
      </w:r>
    </w:p>
    <w:p>
      <w:pPr>
        <w:spacing w:after="0"/>
        <w:ind w:left="0"/>
        <w:jc w:val="both"/>
      </w:pPr>
      <w:r>
        <w:rPr>
          <w:rFonts w:ascii="Times New Roman"/>
          <w:b w:val="false"/>
          <w:i w:val="false"/>
          <w:color w:val="000000"/>
          <w:sz w:val="28"/>
        </w:rPr>
        <w:t>
      ж) информация о производителе товара (наименование юридического лица или фамилия, имя и отчество (при наличии) физического лица, зарегистрированного в качестве индивидуального предпринимателя, GLN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73" w:id="3"/>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2</w:t>
      </w:r>
      <w:r>
        <w:rPr>
          <w:rFonts w:ascii="Times New Roman"/>
          <w:b w:val="false"/>
          <w:i w:val="false"/>
          <w:color w:val="000000"/>
          <w:sz w:val="28"/>
        </w:rPr>
        <w:t>. Установить, что:</w:t>
      </w:r>
    </w:p>
    <w:bookmarkEnd w:id="3"/>
    <w:p>
      <w:pPr>
        <w:spacing w:after="0"/>
        <w:ind w:left="0"/>
        <w:jc w:val="both"/>
      </w:pPr>
      <w:r>
        <w:rPr>
          <w:rFonts w:ascii="Times New Roman"/>
          <w:b w:val="false"/>
          <w:i w:val="false"/>
          <w:color w:val="000000"/>
          <w:sz w:val="28"/>
        </w:rPr>
        <w:t xml:space="preserve">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требований, направляются компетентными (уполномоченными) органами государств – членов Евразийского экономического союза (далее соответственно – компетентные (уполномоченные) органы, государства-члены) в Евразийскую экономическую комиссию не позднее 10 рабочих дней с даты внесения изменений в соответствующий национальный реестр эмитентов контрольных (идентификационных) знаков; </w:t>
      </w:r>
    </w:p>
    <w:p>
      <w:pPr>
        <w:spacing w:after="0"/>
        <w:ind w:left="0"/>
        <w:jc w:val="both"/>
      </w:pPr>
      <w:r>
        <w:rPr>
          <w:rFonts w:ascii="Times New Roman"/>
          <w:b w:val="false"/>
          <w:i w:val="false"/>
          <w:color w:val="000000"/>
          <w:sz w:val="28"/>
        </w:rPr>
        <w:t xml:space="preserve">
      сведения, указанные в </w:t>
      </w:r>
      <w:r>
        <w:rPr>
          <w:rFonts w:ascii="Times New Roman"/>
          <w:b w:val="false"/>
          <w:i w:val="false"/>
          <w:color w:val="000000"/>
          <w:sz w:val="28"/>
        </w:rPr>
        <w:t>пункте 4</w:t>
      </w:r>
      <w:r>
        <w:rPr>
          <w:rFonts w:ascii="Times New Roman"/>
          <w:b w:val="false"/>
          <w:i w:val="false"/>
          <w:color w:val="000000"/>
          <w:sz w:val="28"/>
        </w:rPr>
        <w:t xml:space="preserve"> требований, направляются компетентными (уполномоченными) органами в Евразийскую экономическую комиссию ежедневно по запросу, формируемому в автоматизированном режиме, с использованием сервисов национальных компонентов информационной системы маркировки товаров; </w:t>
      </w:r>
    </w:p>
    <w:p>
      <w:pPr>
        <w:spacing w:after="0"/>
        <w:ind w:left="0"/>
        <w:jc w:val="both"/>
      </w:pPr>
      <w:r>
        <w:rPr>
          <w:rFonts w:ascii="Times New Roman"/>
          <w:b w:val="false"/>
          <w:i w:val="false"/>
          <w:color w:val="000000"/>
          <w:sz w:val="28"/>
        </w:rPr>
        <w:t xml:space="preserve">
      сведения, указанные в </w:t>
      </w:r>
      <w:r>
        <w:rPr>
          <w:rFonts w:ascii="Times New Roman"/>
          <w:b w:val="false"/>
          <w:i w:val="false"/>
          <w:color w:val="000000"/>
          <w:sz w:val="28"/>
        </w:rPr>
        <w:t>пункте 5</w:t>
      </w:r>
      <w:r>
        <w:rPr>
          <w:rFonts w:ascii="Times New Roman"/>
          <w:b w:val="false"/>
          <w:i w:val="false"/>
          <w:color w:val="000000"/>
          <w:sz w:val="28"/>
        </w:rPr>
        <w:t xml:space="preserve"> требований, направляются компетентным (уполномоченным) органом государства-члена, с территории которого товар экспортирован на территорию другого государства-члена, по запросу компетентного (уполномоченного) органа этого другого государства-члена в режиме реального времени посредством интегрированной информационной системы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1</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но не ранее даты вступления в силу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Кыргызской</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w:t>
            </w:r>
            <w:r>
              <w:rPr>
                <w:rFonts w:ascii="Times New Roman"/>
                <w:b w:val="false"/>
                <w:i/>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 </w:t>
            </w:r>
            <w:r>
              <w:rPr>
                <w:rFonts w:ascii="Times New Roman"/>
                <w:b w:val="false"/>
                <w:i/>
                <w:color w:val="000000"/>
                <w:sz w:val="20"/>
              </w:rPr>
              <w:t>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декабря 2015 г. № 86</w:t>
            </w:r>
          </w:p>
        </w:tc>
      </w:tr>
    </w:tbl>
    <w:bookmarkStart w:name="z7" w:id="5"/>
    <w:p>
      <w:pPr>
        <w:spacing w:after="0"/>
        <w:ind w:left="0"/>
        <w:jc w:val="left"/>
      </w:pPr>
      <w:r>
        <w:rPr>
          <w:rFonts w:ascii="Times New Roman"/>
          <w:b/>
          <w:i w:val="false"/>
          <w:color w:val="000000"/>
        </w:rPr>
        <w:t xml:space="preserve"> ТРЕБОВАНИЯ</w:t>
      </w:r>
      <w:r>
        <w:br/>
      </w:r>
      <w:r>
        <w:rPr>
          <w:rFonts w:ascii="Times New Roman"/>
          <w:b/>
          <w:i w:val="false"/>
          <w:color w:val="000000"/>
        </w:rPr>
        <w:t>к информационной системе маркировки товаров</w:t>
      </w:r>
    </w:p>
    <w:bookmarkEnd w:id="5"/>
    <w:bookmarkStart w:name="z8" w:id="6"/>
    <w:p>
      <w:pPr>
        <w:spacing w:after="0"/>
        <w:ind w:left="0"/>
        <w:jc w:val="left"/>
      </w:pPr>
      <w:r>
        <w:rPr>
          <w:rFonts w:ascii="Times New Roman"/>
          <w:b/>
          <w:i w:val="false"/>
          <w:color w:val="000000"/>
        </w:rPr>
        <w:t xml:space="preserve"> I. Требования к структуре информационной системы маркировки</w:t>
      </w:r>
      <w:r>
        <w:br/>
      </w:r>
      <w:r>
        <w:rPr>
          <w:rFonts w:ascii="Times New Roman"/>
          <w:b/>
          <w:i w:val="false"/>
          <w:color w:val="000000"/>
        </w:rPr>
        <w:t>товаров</w:t>
      </w:r>
    </w:p>
    <w:bookmarkEnd w:id="6"/>
    <w:bookmarkStart w:name="z9" w:id="7"/>
    <w:p>
      <w:pPr>
        <w:spacing w:after="0"/>
        <w:ind w:left="0"/>
        <w:jc w:val="both"/>
      </w:pPr>
      <w:r>
        <w:rPr>
          <w:rFonts w:ascii="Times New Roman"/>
          <w:b w:val="false"/>
          <w:i w:val="false"/>
          <w:color w:val="000000"/>
          <w:sz w:val="28"/>
        </w:rPr>
        <w:t>
      1. Информационная система маркировки товаров является совокупностью взаимодействующих национальных компонентов по числу государств - членов Евразийского экономического союза (далее соответственно – национальные компоненты, государства-члены, Союз) и интеграционного компонента Евразийской экономической комиссии (далее соответственно – интеграционный компонент, Комиссия).</w:t>
      </w:r>
    </w:p>
    <w:bookmarkEnd w:id="7"/>
    <w:bookmarkStart w:name="z10" w:id="8"/>
    <w:p>
      <w:pPr>
        <w:spacing w:after="0"/>
        <w:ind w:left="0"/>
        <w:jc w:val="both"/>
      </w:pPr>
      <w:r>
        <w:rPr>
          <w:rFonts w:ascii="Times New Roman"/>
          <w:b w:val="false"/>
          <w:i w:val="false"/>
          <w:color w:val="000000"/>
          <w:sz w:val="28"/>
        </w:rPr>
        <w:t>
      2. Национальные компоненты должны соответствовать настоящим Требованиям и разрабатываться на основе частных технических заданий.</w:t>
      </w:r>
    </w:p>
    <w:bookmarkEnd w:id="8"/>
    <w:bookmarkStart w:name="z11" w:id="9"/>
    <w:p>
      <w:pPr>
        <w:spacing w:after="0"/>
        <w:ind w:left="0"/>
        <w:jc w:val="both"/>
      </w:pPr>
      <w:r>
        <w:rPr>
          <w:rFonts w:ascii="Times New Roman"/>
          <w:b w:val="false"/>
          <w:i w:val="false"/>
          <w:color w:val="000000"/>
          <w:sz w:val="28"/>
        </w:rPr>
        <w:t>
      Государства-члены могут определить в качестве национального компонента ранее разработанные информационные системы, соответствующие настоящим Требованиям.</w:t>
      </w:r>
    </w:p>
    <w:bookmarkEnd w:id="9"/>
    <w:bookmarkStart w:name="z12" w:id="10"/>
    <w:p>
      <w:pPr>
        <w:spacing w:after="0"/>
        <w:ind w:left="0"/>
        <w:jc w:val="both"/>
      </w:pPr>
      <w:r>
        <w:rPr>
          <w:rFonts w:ascii="Times New Roman"/>
          <w:b w:val="false"/>
          <w:i w:val="false"/>
          <w:color w:val="000000"/>
          <w:sz w:val="28"/>
        </w:rPr>
        <w:t>
      3. Информационное взаимодействие национального компонента с информационными системами компетентных (уполномоченных) органов государства-члена должно осуществляться в электронном виде средствами применяемой в государстве-члене системы межведомственного взаимодействия.</w:t>
      </w:r>
    </w:p>
    <w:bookmarkEnd w:id="10"/>
    <w:bookmarkStart w:name="z13" w:id="11"/>
    <w:p>
      <w:pPr>
        <w:spacing w:after="0"/>
        <w:ind w:left="0"/>
        <w:jc w:val="both"/>
      </w:pPr>
      <w:r>
        <w:rPr>
          <w:rFonts w:ascii="Times New Roman"/>
          <w:b w:val="false"/>
          <w:i w:val="false"/>
          <w:color w:val="000000"/>
          <w:sz w:val="28"/>
        </w:rPr>
        <w:t xml:space="preserve">
      Информационное взаимодействие национальных компонентов между собой, а также с интеграционным компонентом должно осуществляться в электронном виде средствами интегрированной информационной системы Союза (далее – интегрированная система) путем реализации общих процессов в рамках Союза. Интеграционный компонент должен быть реализован в составе интеграционного сегмента Комиссии интегрированной системы. </w:t>
      </w:r>
    </w:p>
    <w:bookmarkEnd w:id="11"/>
    <w:bookmarkStart w:name="z14" w:id="12"/>
    <w:p>
      <w:pPr>
        <w:spacing w:after="0"/>
        <w:ind w:left="0"/>
        <w:jc w:val="both"/>
      </w:pPr>
      <w:r>
        <w:rPr>
          <w:rFonts w:ascii="Times New Roman"/>
          <w:b w:val="false"/>
          <w:i w:val="false"/>
          <w:color w:val="000000"/>
          <w:sz w:val="28"/>
        </w:rPr>
        <w:t>
      4. В составе национальных компонентов должны быть созданы информационные ресурсы, обеспечивающие получение достоверной информации от юридических лиц и индивидуальных предпринимателей, осуществляющих оборот товаров, включенных в перечень товаров, подлежащих маркировке контрольными (идентификационными) знаками (далее – Перечень), по стандартам GS1 (всемирной Ассоциации по автоматической идентификации).</w:t>
      </w:r>
    </w:p>
    <w:bookmarkEnd w:id="12"/>
    <w:bookmarkStart w:name="z15" w:id="13"/>
    <w:p>
      <w:pPr>
        <w:spacing w:after="0"/>
        <w:ind w:left="0"/>
        <w:jc w:val="both"/>
      </w:pPr>
      <w:r>
        <w:rPr>
          <w:rFonts w:ascii="Times New Roman"/>
          <w:b w:val="false"/>
          <w:i w:val="false"/>
          <w:color w:val="000000"/>
          <w:sz w:val="28"/>
        </w:rPr>
        <w:t>
      Данные ресурсы могут быть реализованы путем использования сервисов национальной (региональной) организации GS1 или создания национального централизованного ресурса по товарной номенклатуре. Национальный централизованный ресурс по товарной номенклатуре может быть реализован как часть национального компонента.</w:t>
      </w:r>
    </w:p>
    <w:bookmarkEnd w:id="13"/>
    <w:bookmarkStart w:name="z16" w:id="14"/>
    <w:p>
      <w:pPr>
        <w:spacing w:after="0"/>
        <w:ind w:left="0"/>
        <w:jc w:val="both"/>
      </w:pPr>
      <w:r>
        <w:rPr>
          <w:rFonts w:ascii="Times New Roman"/>
          <w:b w:val="false"/>
          <w:i w:val="false"/>
          <w:color w:val="000000"/>
          <w:sz w:val="28"/>
        </w:rPr>
        <w:t>
      5. Проектирование, разработка и эксплуатация национальных компонентов осуществляются компетентным (уполномоченным) органом государства-члена либо уполномоченной организацией в соответствии с законодательством государства-члена.</w:t>
      </w:r>
    </w:p>
    <w:bookmarkEnd w:id="14"/>
    <w:bookmarkStart w:name="z17" w:id="15"/>
    <w:p>
      <w:pPr>
        <w:spacing w:after="0"/>
        <w:ind w:left="0"/>
        <w:jc w:val="both"/>
      </w:pPr>
      <w:r>
        <w:rPr>
          <w:rFonts w:ascii="Times New Roman"/>
          <w:b w:val="false"/>
          <w:i w:val="false"/>
          <w:color w:val="000000"/>
          <w:sz w:val="28"/>
        </w:rPr>
        <w:t>
      6. В состав национального компонента должны входить следующие подсистемы и компоненты:</w:t>
      </w:r>
    </w:p>
    <w:bookmarkEnd w:id="15"/>
    <w:p>
      <w:pPr>
        <w:spacing w:after="0"/>
        <w:ind w:left="0"/>
        <w:jc w:val="both"/>
      </w:pPr>
      <w:r>
        <w:rPr>
          <w:rFonts w:ascii="Times New Roman"/>
          <w:b w:val="false"/>
          <w:i w:val="false"/>
          <w:color w:val="000000"/>
          <w:sz w:val="28"/>
        </w:rPr>
        <w:t>
      а) центральная учетная система, включающая в себя:</w:t>
      </w:r>
    </w:p>
    <w:p>
      <w:pPr>
        <w:spacing w:after="0"/>
        <w:ind w:left="0"/>
        <w:jc w:val="both"/>
      </w:pPr>
      <w:r>
        <w:rPr>
          <w:rFonts w:ascii="Times New Roman"/>
          <w:b w:val="false"/>
          <w:i w:val="false"/>
          <w:color w:val="000000"/>
          <w:sz w:val="28"/>
        </w:rPr>
        <w:t>
      подсистему контроля за оборотом маркированных товаров,</w:t>
      </w:r>
    </w:p>
    <w:p>
      <w:pPr>
        <w:spacing w:after="0"/>
        <w:ind w:left="0"/>
        <w:jc w:val="both"/>
      </w:pPr>
      <w:r>
        <w:rPr>
          <w:rFonts w:ascii="Times New Roman"/>
          <w:b w:val="false"/>
          <w:i w:val="false"/>
          <w:color w:val="000000"/>
          <w:sz w:val="28"/>
        </w:rPr>
        <w:t>
      подсистему взаимодействия,</w:t>
      </w:r>
    </w:p>
    <w:p>
      <w:pPr>
        <w:spacing w:after="0"/>
        <w:ind w:left="0"/>
        <w:jc w:val="both"/>
      </w:pPr>
      <w:r>
        <w:rPr>
          <w:rFonts w:ascii="Times New Roman"/>
          <w:b w:val="false"/>
          <w:i w:val="false"/>
          <w:color w:val="000000"/>
          <w:sz w:val="28"/>
        </w:rPr>
        <w:t>
      подсистему информационной безопасности;</w:t>
      </w:r>
    </w:p>
    <w:p>
      <w:pPr>
        <w:spacing w:after="0"/>
        <w:ind w:left="0"/>
        <w:jc w:val="both"/>
      </w:pPr>
      <w:r>
        <w:rPr>
          <w:rFonts w:ascii="Times New Roman"/>
          <w:b w:val="false"/>
          <w:i w:val="false"/>
          <w:color w:val="000000"/>
          <w:sz w:val="28"/>
        </w:rPr>
        <w:t>
      б) подсистема нормативно-справочной информации (НСИ);</w:t>
      </w:r>
    </w:p>
    <w:p>
      <w:pPr>
        <w:spacing w:after="0"/>
        <w:ind w:left="0"/>
        <w:jc w:val="both"/>
      </w:pPr>
      <w:r>
        <w:rPr>
          <w:rFonts w:ascii="Times New Roman"/>
          <w:b w:val="false"/>
          <w:i w:val="false"/>
          <w:color w:val="000000"/>
          <w:sz w:val="28"/>
        </w:rPr>
        <w:t>
      в) автоматизированное рабочее место (АРМ) эмитента;</w:t>
      </w:r>
    </w:p>
    <w:p>
      <w:pPr>
        <w:spacing w:after="0"/>
        <w:ind w:left="0"/>
        <w:jc w:val="both"/>
      </w:pPr>
      <w:r>
        <w:rPr>
          <w:rFonts w:ascii="Times New Roman"/>
          <w:b w:val="false"/>
          <w:i w:val="false"/>
          <w:color w:val="000000"/>
          <w:sz w:val="28"/>
        </w:rPr>
        <w:t>
      г) АРМ индивидуализации контрольных (идентификационных) знаков;</w:t>
      </w:r>
    </w:p>
    <w:p>
      <w:pPr>
        <w:spacing w:after="0"/>
        <w:ind w:left="0"/>
        <w:jc w:val="both"/>
      </w:pPr>
      <w:r>
        <w:rPr>
          <w:rFonts w:ascii="Times New Roman"/>
          <w:b w:val="false"/>
          <w:i w:val="false"/>
          <w:color w:val="000000"/>
          <w:sz w:val="28"/>
        </w:rPr>
        <w:t xml:space="preserve">
      д) АРМ уполномоченного контролирующего органа; </w:t>
      </w:r>
    </w:p>
    <w:p>
      <w:pPr>
        <w:spacing w:after="0"/>
        <w:ind w:left="0"/>
        <w:jc w:val="both"/>
      </w:pPr>
      <w:r>
        <w:rPr>
          <w:rFonts w:ascii="Times New Roman"/>
          <w:b w:val="false"/>
          <w:i w:val="false"/>
          <w:color w:val="000000"/>
          <w:sz w:val="28"/>
        </w:rPr>
        <w:t>
      е) АРМ юридического лица и индивидуального предпринимателя  Состав национального компонента и функции его подсистем могут быть уточнены государствами-членами с учетом сложившейся в государствах-членах практики функционирования информационных систем в сфере маркировки товаров и наличия соответствующей нормативно-правовой базы.</w:t>
      </w:r>
    </w:p>
    <w:bookmarkStart w:name="z29" w:id="16"/>
    <w:p>
      <w:pPr>
        <w:spacing w:after="0"/>
        <w:ind w:left="0"/>
        <w:jc w:val="both"/>
      </w:pPr>
      <w:r>
        <w:rPr>
          <w:rFonts w:ascii="Times New Roman"/>
          <w:b w:val="false"/>
          <w:i w:val="false"/>
          <w:color w:val="000000"/>
          <w:sz w:val="28"/>
        </w:rPr>
        <w:t>
      7. Функции интеграционного компонента реализуются средствами следующих подсистем интегрированной системы:</w:t>
      </w:r>
    </w:p>
    <w:bookmarkEnd w:id="16"/>
    <w:p>
      <w:pPr>
        <w:spacing w:after="0"/>
        <w:ind w:left="0"/>
        <w:jc w:val="both"/>
      </w:pPr>
      <w:r>
        <w:rPr>
          <w:rFonts w:ascii="Times New Roman"/>
          <w:b w:val="false"/>
          <w:i w:val="false"/>
          <w:color w:val="000000"/>
          <w:sz w:val="28"/>
        </w:rPr>
        <w:t>
      а) подсистема ведения нормативно-справочной информации, реестров и регистров;</w:t>
      </w:r>
    </w:p>
    <w:p>
      <w:pPr>
        <w:spacing w:after="0"/>
        <w:ind w:left="0"/>
        <w:jc w:val="both"/>
      </w:pPr>
      <w:r>
        <w:rPr>
          <w:rFonts w:ascii="Times New Roman"/>
          <w:b w:val="false"/>
          <w:i w:val="false"/>
          <w:color w:val="000000"/>
          <w:sz w:val="28"/>
        </w:rPr>
        <w:t>
      б) информационно-аналитическая подсистема;</w:t>
      </w:r>
    </w:p>
    <w:p>
      <w:pPr>
        <w:spacing w:after="0"/>
        <w:ind w:left="0"/>
        <w:jc w:val="both"/>
      </w:pPr>
      <w:r>
        <w:rPr>
          <w:rFonts w:ascii="Times New Roman"/>
          <w:b w:val="false"/>
          <w:i w:val="false"/>
          <w:color w:val="000000"/>
          <w:sz w:val="28"/>
        </w:rPr>
        <w:t>
      в) официальный сайт Союза в информационно-телекоммуникационной сети "Интернет";</w:t>
      </w:r>
    </w:p>
    <w:p>
      <w:pPr>
        <w:spacing w:after="0"/>
        <w:ind w:left="0"/>
        <w:jc w:val="both"/>
      </w:pPr>
      <w:r>
        <w:rPr>
          <w:rFonts w:ascii="Times New Roman"/>
          <w:b w:val="false"/>
          <w:i w:val="false"/>
          <w:color w:val="000000"/>
          <w:sz w:val="28"/>
        </w:rPr>
        <w:t>
      г) интеграционная платформа.</w:t>
      </w:r>
    </w:p>
    <w:bookmarkStart w:name="z34" w:id="17"/>
    <w:p>
      <w:pPr>
        <w:spacing w:after="0"/>
        <w:ind w:left="0"/>
        <w:jc w:val="left"/>
      </w:pPr>
      <w:r>
        <w:rPr>
          <w:rFonts w:ascii="Times New Roman"/>
          <w:b/>
          <w:i w:val="false"/>
          <w:color w:val="000000"/>
        </w:rPr>
        <w:t xml:space="preserve"> II. Требования к взаимосвязям с внешними системами</w:t>
      </w:r>
    </w:p>
    <w:bookmarkEnd w:id="17"/>
    <w:bookmarkStart w:name="z35" w:id="18"/>
    <w:p>
      <w:pPr>
        <w:spacing w:after="0"/>
        <w:ind w:left="0"/>
        <w:jc w:val="both"/>
      </w:pPr>
      <w:r>
        <w:rPr>
          <w:rFonts w:ascii="Times New Roman"/>
          <w:b w:val="false"/>
          <w:i w:val="false"/>
          <w:color w:val="000000"/>
          <w:sz w:val="28"/>
        </w:rPr>
        <w:t>
      8. Информационное взаимодействие между национальным компонентом и информационными системами государства-члена должно осуществляться в соответствии с законодательством этого государства и включать в себя следующие основные виды взаимодействия:</w:t>
      </w:r>
    </w:p>
    <w:bookmarkEnd w:id="18"/>
    <w:p>
      <w:pPr>
        <w:spacing w:after="0"/>
        <w:ind w:left="0"/>
        <w:jc w:val="both"/>
      </w:pPr>
      <w:r>
        <w:rPr>
          <w:rFonts w:ascii="Times New Roman"/>
          <w:b w:val="false"/>
          <w:i w:val="false"/>
          <w:color w:val="000000"/>
          <w:sz w:val="28"/>
        </w:rPr>
        <w:t>
      а) взаимодействие с информационными системами уполномоченных органов в налоговой сфере;</w:t>
      </w:r>
    </w:p>
    <w:p>
      <w:pPr>
        <w:spacing w:after="0"/>
        <w:ind w:left="0"/>
        <w:jc w:val="both"/>
      </w:pPr>
      <w:r>
        <w:rPr>
          <w:rFonts w:ascii="Times New Roman"/>
          <w:b w:val="false"/>
          <w:i w:val="false"/>
          <w:color w:val="000000"/>
          <w:sz w:val="28"/>
        </w:rPr>
        <w:t xml:space="preserve">
      б) взаимодействие с информационными системами уполномоченных органов в сфере таможенного дела в части передачи информации по товарам, включенным в Перечень; </w:t>
      </w:r>
    </w:p>
    <w:p>
      <w:pPr>
        <w:spacing w:after="0"/>
        <w:ind w:left="0"/>
        <w:jc w:val="both"/>
      </w:pPr>
      <w:r>
        <w:rPr>
          <w:rFonts w:ascii="Times New Roman"/>
          <w:b w:val="false"/>
          <w:i w:val="false"/>
          <w:color w:val="000000"/>
          <w:sz w:val="28"/>
        </w:rPr>
        <w:t>
      в) взаимодействие с информационными системами уполномоченных органов (организаций) по вопросам ведения реестров товарной номенклатуры (при наличии таких органов);</w:t>
      </w:r>
    </w:p>
    <w:p>
      <w:pPr>
        <w:spacing w:after="0"/>
        <w:ind w:left="0"/>
        <w:jc w:val="both"/>
      </w:pPr>
      <w:r>
        <w:rPr>
          <w:rFonts w:ascii="Times New Roman"/>
          <w:b w:val="false"/>
          <w:i w:val="false"/>
          <w:color w:val="000000"/>
          <w:sz w:val="28"/>
        </w:rPr>
        <w:t>
      г) взаимодействие с информационными системами организаций, осуществляющих изготовление и (или) реализацию контрольных (идентификационных) знаков.</w:t>
      </w:r>
    </w:p>
    <w:p>
      <w:pPr>
        <w:spacing w:after="0"/>
        <w:ind w:left="0"/>
        <w:jc w:val="both"/>
      </w:pPr>
      <w:r>
        <w:rPr>
          <w:rFonts w:ascii="Times New Roman"/>
          <w:b w:val="false"/>
          <w:i w:val="false"/>
          <w:color w:val="000000"/>
          <w:sz w:val="28"/>
        </w:rPr>
        <w:t>
      Дополнительно в соответствии с законодательством государства-члена может обеспечиваться взаимодействие с учетными системами субъектов хозяйствования (участниками процессов системы маркировки товаров).</w:t>
      </w:r>
    </w:p>
    <w:p>
      <w:pPr>
        <w:spacing w:after="0"/>
        <w:ind w:left="0"/>
        <w:jc w:val="both"/>
      </w:pPr>
      <w:r>
        <w:rPr>
          <w:rFonts w:ascii="Times New Roman"/>
          <w:b w:val="false"/>
          <w:i w:val="false"/>
          <w:color w:val="000000"/>
          <w:sz w:val="28"/>
        </w:rPr>
        <w:t>
      Дополнительно в соответствии с законодательством государства-члена должно обеспечиваться взаимодействие с сервисами национальной (региональной) организации GS1 или национальным централизованным ресурсом по товарной номенклатуре (в части справочников характеристик товаров, удовлетворяющих требованиям международных стандартов).</w:t>
      </w:r>
    </w:p>
    <w:bookmarkStart w:name="z42" w:id="19"/>
    <w:p>
      <w:pPr>
        <w:spacing w:after="0"/>
        <w:ind w:left="0"/>
        <w:jc w:val="left"/>
      </w:pPr>
      <w:r>
        <w:rPr>
          <w:rFonts w:ascii="Times New Roman"/>
          <w:b/>
          <w:i w:val="false"/>
          <w:color w:val="000000"/>
        </w:rPr>
        <w:t xml:space="preserve"> III. Требования к основным функциям подсистем и компонентам системы</w:t>
      </w:r>
    </w:p>
    <w:bookmarkEnd w:id="19"/>
    <w:bookmarkStart w:name="z43" w:id="20"/>
    <w:p>
      <w:pPr>
        <w:spacing w:after="0"/>
        <w:ind w:left="0"/>
        <w:jc w:val="both"/>
      </w:pPr>
      <w:r>
        <w:rPr>
          <w:rFonts w:ascii="Times New Roman"/>
          <w:b w:val="false"/>
          <w:i w:val="false"/>
          <w:color w:val="000000"/>
          <w:sz w:val="28"/>
        </w:rPr>
        <w:t>
      9. Подсистема контроля за оборотом маркированных товаров должна обеспечивать выполнение следующих функций:</w:t>
      </w:r>
    </w:p>
    <w:bookmarkEnd w:id="20"/>
    <w:p>
      <w:pPr>
        <w:spacing w:after="0"/>
        <w:ind w:left="0"/>
        <w:jc w:val="both"/>
      </w:pPr>
      <w:r>
        <w:rPr>
          <w:rFonts w:ascii="Times New Roman"/>
          <w:b w:val="false"/>
          <w:i w:val="false"/>
          <w:color w:val="000000"/>
          <w:sz w:val="28"/>
        </w:rPr>
        <w:t xml:space="preserve">
      а) хранение и обработка данных: </w:t>
      </w:r>
    </w:p>
    <w:p>
      <w:pPr>
        <w:spacing w:after="0"/>
        <w:ind w:left="0"/>
        <w:jc w:val="both"/>
      </w:pPr>
      <w:r>
        <w:rPr>
          <w:rFonts w:ascii="Times New Roman"/>
          <w:b w:val="false"/>
          <w:i w:val="false"/>
          <w:color w:val="000000"/>
          <w:sz w:val="28"/>
        </w:rPr>
        <w:t>
      об обороте контрольных (идентификационных) знаков,</w:t>
      </w:r>
    </w:p>
    <w:p>
      <w:pPr>
        <w:spacing w:after="0"/>
        <w:ind w:left="0"/>
        <w:jc w:val="both"/>
      </w:pPr>
      <w:r>
        <w:rPr>
          <w:rFonts w:ascii="Times New Roman"/>
          <w:b w:val="false"/>
          <w:i w:val="false"/>
          <w:color w:val="000000"/>
          <w:sz w:val="28"/>
        </w:rPr>
        <w:t>
      о записи в RFID-метку серийного глобального номера торговой единицы (SGTIN), а также идентификатора контрольного (идентификационного) знака или кода страны-эмитента контрольного (идентификационного) знака,</w:t>
      </w:r>
    </w:p>
    <w:p>
      <w:pPr>
        <w:spacing w:after="0"/>
        <w:ind w:left="0"/>
        <w:jc w:val="both"/>
      </w:pPr>
      <w:r>
        <w:rPr>
          <w:rFonts w:ascii="Times New Roman"/>
          <w:b w:val="false"/>
          <w:i w:val="false"/>
          <w:color w:val="000000"/>
          <w:sz w:val="28"/>
        </w:rPr>
        <w:t>
      о маркировке производимых, импортируемых товаров, а также их остатков, находящихся в обороте,</w:t>
      </w:r>
    </w:p>
    <w:p>
      <w:pPr>
        <w:spacing w:after="0"/>
        <w:ind w:left="0"/>
        <w:jc w:val="both"/>
      </w:pPr>
      <w:r>
        <w:rPr>
          <w:rFonts w:ascii="Times New Roman"/>
          <w:b w:val="false"/>
          <w:i w:val="false"/>
          <w:color w:val="000000"/>
          <w:sz w:val="28"/>
        </w:rPr>
        <w:t>
      о выпуске в оборот маркированных товаров при ввозе товаров на территорию государства-члена при трансграничной торговле,</w:t>
      </w:r>
    </w:p>
    <w:p>
      <w:pPr>
        <w:spacing w:after="0"/>
        <w:ind w:left="0"/>
        <w:jc w:val="both"/>
      </w:pPr>
      <w:r>
        <w:rPr>
          <w:rFonts w:ascii="Times New Roman"/>
          <w:b w:val="false"/>
          <w:i w:val="false"/>
          <w:color w:val="000000"/>
          <w:sz w:val="28"/>
        </w:rPr>
        <w:t>
      о подлинности контрольных (идентификационных) знаков и законности нахождения маркированных товаров в обороте уполномоченными лицами (организациями);</w:t>
      </w:r>
    </w:p>
    <w:p>
      <w:pPr>
        <w:spacing w:after="0"/>
        <w:ind w:left="0"/>
        <w:jc w:val="both"/>
      </w:pPr>
      <w:r>
        <w:rPr>
          <w:rFonts w:ascii="Times New Roman"/>
          <w:b w:val="false"/>
          <w:i w:val="false"/>
          <w:color w:val="000000"/>
          <w:sz w:val="28"/>
        </w:rPr>
        <w:t>
      б) проверка законности нахождения маркированных товаров в обороте при предоставлении информации по запросу потребителей;</w:t>
      </w:r>
    </w:p>
    <w:p>
      <w:pPr>
        <w:spacing w:after="0"/>
        <w:ind w:left="0"/>
        <w:jc w:val="both"/>
      </w:pPr>
      <w:r>
        <w:rPr>
          <w:rFonts w:ascii="Times New Roman"/>
          <w:b w:val="false"/>
          <w:i w:val="false"/>
          <w:color w:val="000000"/>
          <w:sz w:val="28"/>
        </w:rPr>
        <w:t>
      в) проверка законности нахождения маркированных товаров в обороте по запросу уполномоченного лица (организации);</w:t>
      </w:r>
    </w:p>
    <w:p>
      <w:pPr>
        <w:spacing w:after="0"/>
        <w:ind w:left="0"/>
        <w:jc w:val="both"/>
      </w:pPr>
      <w:r>
        <w:rPr>
          <w:rFonts w:ascii="Times New Roman"/>
          <w:b w:val="false"/>
          <w:i w:val="false"/>
          <w:color w:val="000000"/>
          <w:sz w:val="28"/>
        </w:rPr>
        <w:t>
      г) проверка законности нахождения маркированных товаров в обороте по запросу национального компонента другого государства-члена;</w:t>
      </w:r>
    </w:p>
    <w:p>
      <w:pPr>
        <w:spacing w:after="0"/>
        <w:ind w:left="0"/>
        <w:jc w:val="both"/>
      </w:pPr>
      <w:r>
        <w:rPr>
          <w:rFonts w:ascii="Times New Roman"/>
          <w:b w:val="false"/>
          <w:i w:val="false"/>
          <w:color w:val="000000"/>
          <w:sz w:val="28"/>
        </w:rPr>
        <w:t>
      д) регистрация реализации (вывода из оборота) маркированного товара (в случае, если соответствующие нормы предусмотрены законодательством государства-члена);</w:t>
      </w:r>
    </w:p>
    <w:p>
      <w:pPr>
        <w:spacing w:after="0"/>
        <w:ind w:left="0"/>
        <w:jc w:val="both"/>
      </w:pPr>
      <w:r>
        <w:rPr>
          <w:rFonts w:ascii="Times New Roman"/>
          <w:b w:val="false"/>
          <w:i w:val="false"/>
          <w:color w:val="000000"/>
          <w:sz w:val="28"/>
        </w:rPr>
        <w:t>
      е) формирование и направление запросов в национальные компоненты других государств-членов и обработка сведений, полученных в ответ на указанные запросы, при трансграничной торговле.</w:t>
      </w:r>
    </w:p>
    <w:bookmarkStart w:name="z55" w:id="21"/>
    <w:p>
      <w:pPr>
        <w:spacing w:after="0"/>
        <w:ind w:left="0"/>
        <w:jc w:val="both"/>
      </w:pPr>
      <w:r>
        <w:rPr>
          <w:rFonts w:ascii="Times New Roman"/>
          <w:b w:val="false"/>
          <w:i w:val="false"/>
          <w:color w:val="000000"/>
          <w:sz w:val="28"/>
        </w:rPr>
        <w:t>
      10. Подсистема взаимодействия должна обеспечивать реализацию следующих видов информационного взаимодействия:</w:t>
      </w:r>
    </w:p>
    <w:bookmarkEnd w:id="21"/>
    <w:p>
      <w:pPr>
        <w:spacing w:after="0"/>
        <w:ind w:left="0"/>
        <w:jc w:val="both"/>
      </w:pPr>
      <w:r>
        <w:rPr>
          <w:rFonts w:ascii="Times New Roman"/>
          <w:b w:val="false"/>
          <w:i w:val="false"/>
          <w:color w:val="000000"/>
          <w:sz w:val="28"/>
        </w:rPr>
        <w:t>
      а) с национальными компонентами других государств-членов;</w:t>
      </w:r>
    </w:p>
    <w:p>
      <w:pPr>
        <w:spacing w:after="0"/>
        <w:ind w:left="0"/>
        <w:jc w:val="both"/>
      </w:pPr>
      <w:r>
        <w:rPr>
          <w:rFonts w:ascii="Times New Roman"/>
          <w:b w:val="false"/>
          <w:i w:val="false"/>
          <w:color w:val="000000"/>
          <w:sz w:val="28"/>
        </w:rPr>
        <w:t>
      б) с интеграционным компонентом;</w:t>
      </w:r>
    </w:p>
    <w:p>
      <w:pPr>
        <w:spacing w:after="0"/>
        <w:ind w:left="0"/>
        <w:jc w:val="both"/>
      </w:pPr>
      <w:r>
        <w:rPr>
          <w:rFonts w:ascii="Times New Roman"/>
          <w:b w:val="false"/>
          <w:i w:val="false"/>
          <w:color w:val="000000"/>
          <w:sz w:val="28"/>
        </w:rPr>
        <w:t>
      в) с ведомственными информационными системами государства-члена;</w:t>
      </w:r>
    </w:p>
    <w:p>
      <w:pPr>
        <w:spacing w:after="0"/>
        <w:ind w:left="0"/>
        <w:jc w:val="both"/>
      </w:pPr>
      <w:r>
        <w:rPr>
          <w:rFonts w:ascii="Times New Roman"/>
          <w:b w:val="false"/>
          <w:i w:val="false"/>
          <w:color w:val="000000"/>
          <w:sz w:val="28"/>
        </w:rPr>
        <w:t>
      г) с сервисами национальной (региональной) организации GS1 или национальным централизованным ресурсом по товарной номенклатуре (в соответствии с требованиями законодательства государства-члена).</w:t>
      </w:r>
    </w:p>
    <w:bookmarkStart w:name="z60" w:id="22"/>
    <w:p>
      <w:pPr>
        <w:spacing w:after="0"/>
        <w:ind w:left="0"/>
        <w:jc w:val="both"/>
      </w:pPr>
      <w:r>
        <w:rPr>
          <w:rFonts w:ascii="Times New Roman"/>
          <w:b w:val="false"/>
          <w:i w:val="false"/>
          <w:color w:val="000000"/>
          <w:sz w:val="28"/>
        </w:rPr>
        <w:t>
      11. Подсистема информационной безопасности должна обеспечивать выполнение следующих функций:</w:t>
      </w:r>
    </w:p>
    <w:bookmarkEnd w:id="22"/>
    <w:p>
      <w:pPr>
        <w:spacing w:after="0"/>
        <w:ind w:left="0"/>
        <w:jc w:val="both"/>
      </w:pPr>
      <w:r>
        <w:rPr>
          <w:rFonts w:ascii="Times New Roman"/>
          <w:b w:val="false"/>
          <w:i w:val="false"/>
          <w:color w:val="000000"/>
          <w:sz w:val="28"/>
        </w:rPr>
        <w:t>
      а) регистрация пользователей системы. Может быть рассмотрена возможность интеграции с национальной государственной системой аутентификации физических и юридических лиц;</w:t>
      </w:r>
    </w:p>
    <w:p>
      <w:pPr>
        <w:spacing w:after="0"/>
        <w:ind w:left="0"/>
        <w:jc w:val="both"/>
      </w:pPr>
      <w:r>
        <w:rPr>
          <w:rFonts w:ascii="Times New Roman"/>
          <w:b w:val="false"/>
          <w:i w:val="false"/>
          <w:color w:val="000000"/>
          <w:sz w:val="28"/>
        </w:rPr>
        <w:t>
      б) управление доступом к данным на основе ролевой модели пользователей;</w:t>
      </w:r>
    </w:p>
    <w:p>
      <w:pPr>
        <w:spacing w:after="0"/>
        <w:ind w:left="0"/>
        <w:jc w:val="both"/>
      </w:pPr>
      <w:r>
        <w:rPr>
          <w:rFonts w:ascii="Times New Roman"/>
          <w:b w:val="false"/>
          <w:i w:val="false"/>
          <w:color w:val="000000"/>
          <w:sz w:val="28"/>
        </w:rPr>
        <w:t>
      в) аутентификация пользователей;</w:t>
      </w:r>
    </w:p>
    <w:p>
      <w:pPr>
        <w:spacing w:after="0"/>
        <w:ind w:left="0"/>
        <w:jc w:val="both"/>
      </w:pPr>
      <w:r>
        <w:rPr>
          <w:rFonts w:ascii="Times New Roman"/>
          <w:b w:val="false"/>
          <w:i w:val="false"/>
          <w:color w:val="000000"/>
          <w:sz w:val="28"/>
        </w:rPr>
        <w:t>
      г) аутентификация приложений, подключающихся к системе через открытые каналы связи (кроме сервисов для потребителей, допускающих подключение неавторизованных пользователей).</w:t>
      </w:r>
    </w:p>
    <w:bookmarkStart w:name="z65" w:id="23"/>
    <w:p>
      <w:pPr>
        <w:spacing w:after="0"/>
        <w:ind w:left="0"/>
        <w:jc w:val="both"/>
      </w:pPr>
      <w:r>
        <w:rPr>
          <w:rFonts w:ascii="Times New Roman"/>
          <w:b w:val="false"/>
          <w:i w:val="false"/>
          <w:color w:val="000000"/>
          <w:sz w:val="28"/>
        </w:rPr>
        <w:t>
      12. Подсистема НСИ должна обеспечивать выполнение следующих функций:</w:t>
      </w:r>
    </w:p>
    <w:bookmarkEnd w:id="23"/>
    <w:p>
      <w:pPr>
        <w:spacing w:after="0"/>
        <w:ind w:left="0"/>
        <w:jc w:val="both"/>
      </w:pPr>
      <w:r>
        <w:rPr>
          <w:rFonts w:ascii="Times New Roman"/>
          <w:b w:val="false"/>
          <w:i w:val="false"/>
          <w:color w:val="000000"/>
          <w:sz w:val="28"/>
        </w:rPr>
        <w:t>
      а) ведение национального реестра эмитентов контрольных (идентификационных) знаков;</w:t>
      </w:r>
    </w:p>
    <w:p>
      <w:pPr>
        <w:spacing w:after="0"/>
        <w:ind w:left="0"/>
        <w:jc w:val="both"/>
      </w:pPr>
      <w:r>
        <w:rPr>
          <w:rFonts w:ascii="Times New Roman"/>
          <w:b w:val="false"/>
          <w:i w:val="false"/>
          <w:color w:val="000000"/>
          <w:sz w:val="28"/>
        </w:rPr>
        <w:t>
      б) ведение национального реестра участников системы маркировки (производители, импортеры, продавцы). Может быть рассмотрена возможность интеграции с национальной государственной системой аутентификации физических и юридических лиц;</w:t>
      </w:r>
    </w:p>
    <w:p>
      <w:pPr>
        <w:spacing w:after="0"/>
        <w:ind w:left="0"/>
        <w:jc w:val="both"/>
      </w:pPr>
      <w:r>
        <w:rPr>
          <w:rFonts w:ascii="Times New Roman"/>
          <w:b w:val="false"/>
          <w:i w:val="false"/>
          <w:color w:val="000000"/>
          <w:sz w:val="28"/>
        </w:rPr>
        <w:t>
      в) ведение национального реестра товаров, подлежащих маркировке контрольными (идентификационными) знаками;</w:t>
      </w:r>
    </w:p>
    <w:p>
      <w:pPr>
        <w:spacing w:after="0"/>
        <w:ind w:left="0"/>
        <w:jc w:val="both"/>
      </w:pPr>
      <w:r>
        <w:rPr>
          <w:rFonts w:ascii="Times New Roman"/>
          <w:b w:val="false"/>
          <w:i w:val="false"/>
          <w:color w:val="000000"/>
          <w:sz w:val="28"/>
        </w:rPr>
        <w:t>
      г) предоставление справочников, реестров и классификаторов подсистемам и компонентам информационной системы;</w:t>
      </w:r>
    </w:p>
    <w:p>
      <w:pPr>
        <w:spacing w:after="0"/>
        <w:ind w:left="0"/>
        <w:jc w:val="both"/>
      </w:pPr>
      <w:r>
        <w:rPr>
          <w:rFonts w:ascii="Times New Roman"/>
          <w:b w:val="false"/>
          <w:i w:val="false"/>
          <w:color w:val="000000"/>
          <w:sz w:val="28"/>
        </w:rPr>
        <w:t>
      д) обеспечение актуализации единых реестров, справочников и классификаторов, в том числе на основе взаимодействия с интеграционным сегментом.</w:t>
      </w:r>
    </w:p>
    <w:bookmarkStart w:name="z71" w:id="24"/>
    <w:p>
      <w:pPr>
        <w:spacing w:after="0"/>
        <w:ind w:left="0"/>
        <w:jc w:val="both"/>
      </w:pPr>
      <w:r>
        <w:rPr>
          <w:rFonts w:ascii="Times New Roman"/>
          <w:b w:val="false"/>
          <w:i w:val="false"/>
          <w:color w:val="000000"/>
          <w:sz w:val="28"/>
        </w:rPr>
        <w:t xml:space="preserve">
      13. Компонент "АРМ эмитента" должен обеспечивать формирование и передачу информации об изготовленных контрольных (идентификационных) знаках согласно документу "Требования к структуре и формату информации, передаваемой организациями, осуществляющими изготовление и реализацию юридическим лицам и индивидуальным предпринимателям государств-членов контрольных (идентификационных) знаков, в компетентные (уполномоченные) органы своих государств-членов, а также сроки ее передачи". </w:t>
      </w:r>
    </w:p>
    <w:bookmarkEnd w:id="24"/>
    <w:bookmarkStart w:name="z72" w:id="25"/>
    <w:p>
      <w:pPr>
        <w:spacing w:after="0"/>
        <w:ind w:left="0"/>
        <w:jc w:val="both"/>
      </w:pPr>
      <w:r>
        <w:rPr>
          <w:rFonts w:ascii="Times New Roman"/>
          <w:b w:val="false"/>
          <w:i w:val="false"/>
          <w:color w:val="000000"/>
          <w:sz w:val="28"/>
        </w:rPr>
        <w:t>
      14. Компонент "АРМ индивидуализации контрольных (идентификационных) знаков" должен обеспечивать выполнение следующих функций:</w:t>
      </w:r>
    </w:p>
    <w:bookmarkEnd w:id="25"/>
    <w:p>
      <w:pPr>
        <w:spacing w:after="0"/>
        <w:ind w:left="0"/>
        <w:jc w:val="both"/>
      </w:pPr>
      <w:r>
        <w:rPr>
          <w:rFonts w:ascii="Times New Roman"/>
          <w:b w:val="false"/>
          <w:i w:val="false"/>
          <w:color w:val="000000"/>
          <w:sz w:val="28"/>
        </w:rPr>
        <w:t>
      а) запись в контрольные (идентификационные) знаки кодов SGTIN (при маркировке остатков товаров запись SGTIN в память RFID-метки не является обязательной);</w:t>
      </w:r>
    </w:p>
    <w:p>
      <w:pPr>
        <w:spacing w:after="0"/>
        <w:ind w:left="0"/>
        <w:jc w:val="both"/>
      </w:pPr>
      <w:r>
        <w:rPr>
          <w:rFonts w:ascii="Times New Roman"/>
          <w:b w:val="false"/>
          <w:i w:val="false"/>
          <w:color w:val="000000"/>
          <w:sz w:val="28"/>
        </w:rPr>
        <w:t>
      б) передача в национальный компонент данных о персонализированных контрольных (идентификационных) знаках с перечнем идентификаторов и соответствующих кодов SGTIN;</w:t>
      </w:r>
    </w:p>
    <w:p>
      <w:pPr>
        <w:spacing w:after="0"/>
        <w:ind w:left="0"/>
        <w:jc w:val="both"/>
      </w:pPr>
      <w:r>
        <w:rPr>
          <w:rFonts w:ascii="Times New Roman"/>
          <w:b w:val="false"/>
          <w:i w:val="false"/>
          <w:color w:val="000000"/>
          <w:sz w:val="28"/>
        </w:rPr>
        <w:t>
      в) передача в национальный компонент данных о фактах маркировки товаров и иных событиях с маркированным товаром, предусмотренных документом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а также сроки передачи такой информации", а также законодательством государства-члена.</w:t>
      </w:r>
    </w:p>
    <w:bookmarkStart w:name="z76" w:id="26"/>
    <w:p>
      <w:pPr>
        <w:spacing w:after="0"/>
        <w:ind w:left="0"/>
        <w:jc w:val="both"/>
      </w:pPr>
      <w:r>
        <w:rPr>
          <w:rFonts w:ascii="Times New Roman"/>
          <w:b w:val="false"/>
          <w:i w:val="false"/>
          <w:color w:val="000000"/>
          <w:sz w:val="28"/>
        </w:rPr>
        <w:t xml:space="preserve">
      15. Компонент "АРМ юридического лица" должен обеспечивать для юридических лиц и индивидуальных предпринимателями, осуществляющими оборот товаров, включенных в Перечень товаров, как минимум, передачу в информационную систему информации о фактах маркировки товаров и иных событиях с маркированным товаром, предусмотренных документом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а также сроки передачи такой информации". </w:t>
      </w:r>
    </w:p>
    <w:bookmarkEnd w:id="26"/>
    <w:bookmarkStart w:name="z77" w:id="27"/>
    <w:p>
      <w:pPr>
        <w:spacing w:after="0"/>
        <w:ind w:left="0"/>
        <w:jc w:val="both"/>
      </w:pPr>
      <w:r>
        <w:rPr>
          <w:rFonts w:ascii="Times New Roman"/>
          <w:b w:val="false"/>
          <w:i w:val="false"/>
          <w:color w:val="000000"/>
          <w:sz w:val="28"/>
        </w:rPr>
        <w:t xml:space="preserve">
      16. Компонент "АРМ уполномоченного контролирующего органа" предназначен для организации проверок законности маркированных товаров и контроля их оборота и может быть реализован в т.ч. на базе мобильных устройств. </w:t>
      </w:r>
    </w:p>
    <w:bookmarkEnd w:id="27"/>
    <w:p>
      <w:pPr>
        <w:spacing w:after="0"/>
        <w:ind w:left="0"/>
        <w:jc w:val="both"/>
      </w:pPr>
      <w:r>
        <w:rPr>
          <w:rFonts w:ascii="Times New Roman"/>
          <w:b w:val="false"/>
          <w:i w:val="false"/>
          <w:color w:val="000000"/>
          <w:sz w:val="28"/>
        </w:rPr>
        <w:t>
      Компонент "АРМ уполномоченного контролирующего органа" выполняет функцию представления информации по идентификаторам контрольных (идентификационных) знаков о фактах и событиях, зафиксированных в информационной системе маркировки товаров.</w:t>
      </w:r>
    </w:p>
    <w:bookmarkStart w:name="z79" w:id="28"/>
    <w:p>
      <w:pPr>
        <w:spacing w:after="0"/>
        <w:ind w:left="0"/>
        <w:jc w:val="left"/>
      </w:pPr>
      <w:r>
        <w:rPr>
          <w:rFonts w:ascii="Times New Roman"/>
          <w:b/>
          <w:i w:val="false"/>
          <w:color w:val="000000"/>
        </w:rPr>
        <w:t xml:space="preserve"> IV. Требования к функциям интеграционного компонента</w:t>
      </w:r>
    </w:p>
    <w:bookmarkEnd w:id="28"/>
    <w:bookmarkStart w:name="z80" w:id="29"/>
    <w:p>
      <w:pPr>
        <w:spacing w:after="0"/>
        <w:ind w:left="0"/>
        <w:jc w:val="both"/>
      </w:pPr>
      <w:r>
        <w:rPr>
          <w:rFonts w:ascii="Times New Roman"/>
          <w:b w:val="false"/>
          <w:i w:val="false"/>
          <w:color w:val="000000"/>
          <w:sz w:val="28"/>
        </w:rPr>
        <w:t xml:space="preserve">
      17. В целях реализации мониторинга и контроля исполнения </w:t>
      </w:r>
      <w:r>
        <w:rPr>
          <w:rFonts w:ascii="Times New Roman"/>
          <w:b w:val="false"/>
          <w:i w:val="false"/>
          <w:color w:val="000000"/>
          <w:sz w:val="28"/>
        </w:rPr>
        <w:t>Соглашения</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 контроля за оборотом товаров, включенных в Перечень, при трансграничной торговле, интеграционный компонент должен обеспечивать реализацию следующих общих процессов информационного обеспечения в сфере маркировки товаров, включенных в Перечень:</w:t>
      </w:r>
    </w:p>
    <w:bookmarkEnd w:id="29"/>
    <w:p>
      <w:pPr>
        <w:spacing w:after="0"/>
        <w:ind w:left="0"/>
        <w:jc w:val="both"/>
      </w:pPr>
      <w:r>
        <w:rPr>
          <w:rFonts w:ascii="Times New Roman"/>
          <w:b w:val="false"/>
          <w:i w:val="false"/>
          <w:color w:val="000000"/>
          <w:sz w:val="28"/>
        </w:rPr>
        <w:t>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Союза, в том числе при трансграничном обороте таких товаров на таможенной территории Союза;</w:t>
      </w:r>
    </w:p>
    <w:p>
      <w:pPr>
        <w:spacing w:after="0"/>
        <w:ind w:left="0"/>
        <w:jc w:val="both"/>
      </w:pPr>
      <w:r>
        <w:rPr>
          <w:rFonts w:ascii="Times New Roman"/>
          <w:b w:val="false"/>
          <w:i w:val="false"/>
          <w:color w:val="000000"/>
          <w:sz w:val="28"/>
        </w:rPr>
        <w:t>
      формирование, ведение и использование общего реестра эмитентов контрольных (идентификационных) знаков.</w:t>
      </w:r>
    </w:p>
    <w:bookmarkStart w:name="z83" w:id="30"/>
    <w:p>
      <w:pPr>
        <w:spacing w:after="0"/>
        <w:ind w:left="0"/>
        <w:jc w:val="both"/>
      </w:pPr>
      <w:r>
        <w:rPr>
          <w:rFonts w:ascii="Times New Roman"/>
          <w:b w:val="false"/>
          <w:i w:val="false"/>
          <w:color w:val="000000"/>
          <w:sz w:val="28"/>
        </w:rPr>
        <w:t xml:space="preserve">
      18. Интеграционный компонент должен обеспечивать взаимодействие между компонентами системы в соответствии с документом "Порядок взаимодействия компетентных (уполномоченных) органов государств-членов и Евразийской экономической комиссии, а также требования к структуре и формату информации, передаваемой между компетентными (уполномоченными) органами государств-членов и Евразийской экономической комиссией": </w:t>
      </w:r>
    </w:p>
    <w:bookmarkEnd w:id="30"/>
    <w:p>
      <w:pPr>
        <w:spacing w:after="0"/>
        <w:ind w:left="0"/>
        <w:jc w:val="both"/>
      </w:pPr>
      <w:r>
        <w:rPr>
          <w:rFonts w:ascii="Times New Roman"/>
          <w:b w:val="false"/>
          <w:i w:val="false"/>
          <w:color w:val="000000"/>
          <w:sz w:val="28"/>
        </w:rPr>
        <w:t xml:space="preserve">
      а) при формировании и ведении нормативно-справочной информации; </w:t>
      </w:r>
    </w:p>
    <w:p>
      <w:pPr>
        <w:spacing w:after="0"/>
        <w:ind w:left="0"/>
        <w:jc w:val="both"/>
      </w:pPr>
      <w:r>
        <w:rPr>
          <w:rFonts w:ascii="Times New Roman"/>
          <w:b w:val="false"/>
          <w:i w:val="false"/>
          <w:color w:val="000000"/>
          <w:sz w:val="28"/>
        </w:rPr>
        <w:t xml:space="preserve">
      б) при формировании аналитической отчетности; </w:t>
      </w:r>
    </w:p>
    <w:p>
      <w:pPr>
        <w:spacing w:after="0"/>
        <w:ind w:left="0"/>
        <w:jc w:val="both"/>
      </w:pPr>
      <w:r>
        <w:rPr>
          <w:rFonts w:ascii="Times New Roman"/>
          <w:b w:val="false"/>
          <w:i w:val="false"/>
          <w:color w:val="000000"/>
          <w:sz w:val="28"/>
        </w:rPr>
        <w:t>
      в) при трансграничном обороте товаров;</w:t>
      </w:r>
    </w:p>
    <w:p>
      <w:pPr>
        <w:spacing w:after="0"/>
        <w:ind w:left="0"/>
        <w:jc w:val="both"/>
      </w:pPr>
      <w:r>
        <w:rPr>
          <w:rFonts w:ascii="Times New Roman"/>
          <w:b w:val="false"/>
          <w:i w:val="false"/>
          <w:color w:val="000000"/>
          <w:sz w:val="28"/>
        </w:rPr>
        <w:t>
      г) при иной передаче данных между национальными компонентами средствами интегрированной информационной системы Союза.</w:t>
      </w:r>
    </w:p>
    <w:bookmarkStart w:name="z88" w:id="31"/>
    <w:p>
      <w:pPr>
        <w:spacing w:after="0"/>
        <w:ind w:left="0"/>
        <w:jc w:val="left"/>
      </w:pPr>
      <w:r>
        <w:rPr>
          <w:rFonts w:ascii="Times New Roman"/>
          <w:b/>
          <w:i w:val="false"/>
          <w:color w:val="000000"/>
        </w:rPr>
        <w:t xml:space="preserve"> V. Требования к структуре информации</w:t>
      </w:r>
    </w:p>
    <w:bookmarkEnd w:id="31"/>
    <w:bookmarkStart w:name="z89" w:id="32"/>
    <w:p>
      <w:pPr>
        <w:spacing w:after="0"/>
        <w:ind w:left="0"/>
        <w:jc w:val="both"/>
      </w:pPr>
      <w:r>
        <w:rPr>
          <w:rFonts w:ascii="Times New Roman"/>
          <w:b w:val="false"/>
          <w:i w:val="false"/>
          <w:color w:val="000000"/>
          <w:sz w:val="28"/>
        </w:rPr>
        <w:t>
      19. Основными источниками информации информационной системы маркировки товаров являются:</w:t>
      </w:r>
    </w:p>
    <w:bookmarkEnd w:id="32"/>
    <w:p>
      <w:pPr>
        <w:spacing w:after="0"/>
        <w:ind w:left="0"/>
        <w:jc w:val="both"/>
      </w:pPr>
      <w:r>
        <w:rPr>
          <w:rFonts w:ascii="Times New Roman"/>
          <w:b w:val="false"/>
          <w:i w:val="false"/>
          <w:color w:val="000000"/>
          <w:sz w:val="28"/>
        </w:rPr>
        <w:t>
      а) информация, передаваемая организациями, осуществляющими изготовление и (или) реализацию контрольных (идентификационных) знаков;</w:t>
      </w:r>
    </w:p>
    <w:p>
      <w:pPr>
        <w:spacing w:after="0"/>
        <w:ind w:left="0"/>
        <w:jc w:val="both"/>
      </w:pPr>
      <w:r>
        <w:rPr>
          <w:rFonts w:ascii="Times New Roman"/>
          <w:b w:val="false"/>
          <w:i w:val="false"/>
          <w:color w:val="000000"/>
          <w:sz w:val="28"/>
        </w:rPr>
        <w:t>
      б) информация, передаваемая юридическими лицами и индивидуальными предпринимателями, осуществляющими оборот товаров, в том числе организациями-импортерами и организациями-производителями;</w:t>
      </w:r>
    </w:p>
    <w:p>
      <w:pPr>
        <w:spacing w:after="0"/>
        <w:ind w:left="0"/>
        <w:jc w:val="both"/>
      </w:pPr>
      <w:r>
        <w:rPr>
          <w:rFonts w:ascii="Times New Roman"/>
          <w:b w:val="false"/>
          <w:i w:val="false"/>
          <w:color w:val="000000"/>
          <w:sz w:val="28"/>
        </w:rPr>
        <w:t>
      в) данные информационных систем государств-членов, в том числе информационных систем уполномоченных органов в налоговой сфере и в сфере таможенного дела в соответствии с законодательством этого государства;</w:t>
      </w:r>
    </w:p>
    <w:p>
      <w:pPr>
        <w:spacing w:after="0"/>
        <w:ind w:left="0"/>
        <w:jc w:val="both"/>
      </w:pPr>
      <w:r>
        <w:rPr>
          <w:rFonts w:ascii="Times New Roman"/>
          <w:b w:val="false"/>
          <w:i w:val="false"/>
          <w:color w:val="000000"/>
          <w:sz w:val="28"/>
        </w:rPr>
        <w:t>
      г) данные национальной (региональной) организации GS1 или национального централизованного ресурса по товарной номенклатуре в соответствии с законодательством государства-члена.</w:t>
      </w:r>
    </w:p>
    <w:bookmarkStart w:name="z94" w:id="33"/>
    <w:p>
      <w:pPr>
        <w:spacing w:after="0"/>
        <w:ind w:left="0"/>
        <w:jc w:val="both"/>
      </w:pPr>
      <w:r>
        <w:rPr>
          <w:rFonts w:ascii="Times New Roman"/>
          <w:b w:val="false"/>
          <w:i w:val="false"/>
          <w:color w:val="000000"/>
          <w:sz w:val="28"/>
        </w:rPr>
        <w:t>
      20. Требования к структуре и формату информации, передаваемой от организаций, осуществляющих изготовление и (или) реализацию контрольных (идентификационных) знаков, а также юридических лиц и индивидуальных предпринимателей, осуществляющих оборот товаров, изложены в документах "Требования к структуре и формату информации, передаваемой организациями, осуществляющими изготовление и реализацию юридическим лицам и индивидуальным предпринимателям государств-членов контрольных (идентификационных) знаков, в компетентные (уполномоченные) органы своих государств-членов, а также сроки ее передачи" и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а также сроки передачи такой информации".</w:t>
      </w:r>
    </w:p>
    <w:bookmarkEnd w:id="33"/>
    <w:bookmarkStart w:name="z95" w:id="34"/>
    <w:p>
      <w:pPr>
        <w:spacing w:after="0"/>
        <w:ind w:left="0"/>
        <w:jc w:val="both"/>
      </w:pPr>
      <w:r>
        <w:rPr>
          <w:rFonts w:ascii="Times New Roman"/>
          <w:b w:val="false"/>
          <w:i w:val="false"/>
          <w:color w:val="000000"/>
          <w:sz w:val="28"/>
        </w:rPr>
        <w:t>
      21. Информационные системы уполномоченных органов в сфере таможенного дела государств-членов должны передавать в национальный компонент следующую информацию, содержащуюся в декларациях на товары, в отношении товаров, подлежащих маркировке:</w:t>
      </w:r>
    </w:p>
    <w:bookmarkEnd w:id="34"/>
    <w:p>
      <w:pPr>
        <w:spacing w:after="0"/>
        <w:ind w:left="0"/>
        <w:jc w:val="both"/>
      </w:pPr>
      <w:r>
        <w:rPr>
          <w:rFonts w:ascii="Times New Roman"/>
          <w:b w:val="false"/>
          <w:i w:val="false"/>
          <w:color w:val="000000"/>
          <w:sz w:val="28"/>
        </w:rPr>
        <w:t>
      а) код таможенного органа;</w:t>
      </w:r>
    </w:p>
    <w:p>
      <w:pPr>
        <w:spacing w:after="0"/>
        <w:ind w:left="0"/>
        <w:jc w:val="both"/>
      </w:pPr>
      <w:r>
        <w:rPr>
          <w:rFonts w:ascii="Times New Roman"/>
          <w:b w:val="false"/>
          <w:i w:val="false"/>
          <w:color w:val="000000"/>
          <w:sz w:val="28"/>
        </w:rPr>
        <w:t>
      б) дата регистрации декларации на товары;</w:t>
      </w:r>
    </w:p>
    <w:p>
      <w:pPr>
        <w:spacing w:after="0"/>
        <w:ind w:left="0"/>
        <w:jc w:val="both"/>
      </w:pPr>
      <w:r>
        <w:rPr>
          <w:rFonts w:ascii="Times New Roman"/>
          <w:b w:val="false"/>
          <w:i w:val="false"/>
          <w:color w:val="000000"/>
          <w:sz w:val="28"/>
        </w:rPr>
        <w:t>
      в) регистрационный номер декларации на товары;</w:t>
      </w:r>
    </w:p>
    <w:p>
      <w:pPr>
        <w:spacing w:after="0"/>
        <w:ind w:left="0"/>
        <w:jc w:val="both"/>
      </w:pPr>
      <w:r>
        <w:rPr>
          <w:rFonts w:ascii="Times New Roman"/>
          <w:b w:val="false"/>
          <w:i w:val="false"/>
          <w:color w:val="000000"/>
          <w:sz w:val="28"/>
        </w:rPr>
        <w:t>
      г) указанные в декларации на товары номера идентификаторов контрольных (идентификационных) знаков для товаров, подлежащих маркировке (при наличии);</w:t>
      </w:r>
    </w:p>
    <w:p>
      <w:pPr>
        <w:spacing w:after="0"/>
        <w:ind w:left="0"/>
        <w:jc w:val="both"/>
      </w:pPr>
      <w:r>
        <w:rPr>
          <w:rFonts w:ascii="Times New Roman"/>
          <w:b w:val="false"/>
          <w:i w:val="false"/>
          <w:color w:val="000000"/>
          <w:sz w:val="28"/>
        </w:rPr>
        <w:t>
      д) код товара по ТН ВЭД ЕАЭС;</w:t>
      </w:r>
    </w:p>
    <w:p>
      <w:pPr>
        <w:spacing w:after="0"/>
        <w:ind w:left="0"/>
        <w:jc w:val="both"/>
      </w:pPr>
      <w:r>
        <w:rPr>
          <w:rFonts w:ascii="Times New Roman"/>
          <w:b w:val="false"/>
          <w:i w:val="false"/>
          <w:color w:val="000000"/>
          <w:sz w:val="28"/>
        </w:rPr>
        <w:t>
      е) наименования, порядковые номера и количество товаров в декларации на товары;</w:t>
      </w:r>
    </w:p>
    <w:p>
      <w:pPr>
        <w:spacing w:after="0"/>
        <w:ind w:left="0"/>
        <w:jc w:val="both"/>
      </w:pPr>
      <w:r>
        <w:rPr>
          <w:rFonts w:ascii="Times New Roman"/>
          <w:b w:val="false"/>
          <w:i w:val="false"/>
          <w:color w:val="000000"/>
          <w:sz w:val="28"/>
        </w:rPr>
        <w:t>
      ж) таможенная стоимость;</w:t>
      </w:r>
    </w:p>
    <w:p>
      <w:pPr>
        <w:spacing w:after="0"/>
        <w:ind w:left="0"/>
        <w:jc w:val="both"/>
      </w:pPr>
      <w:r>
        <w:rPr>
          <w:rFonts w:ascii="Times New Roman"/>
          <w:b w:val="false"/>
          <w:i w:val="false"/>
          <w:color w:val="000000"/>
          <w:sz w:val="28"/>
        </w:rPr>
        <w:t>
      з) вес брутто и вес нетто товара;</w:t>
      </w:r>
    </w:p>
    <w:p>
      <w:pPr>
        <w:spacing w:after="0"/>
        <w:ind w:left="0"/>
        <w:jc w:val="both"/>
      </w:pPr>
      <w:r>
        <w:rPr>
          <w:rFonts w:ascii="Times New Roman"/>
          <w:b w:val="false"/>
          <w:i w:val="false"/>
          <w:color w:val="000000"/>
          <w:sz w:val="28"/>
        </w:rPr>
        <w:t>
      и) значения дополнительных единиц измерения.</w:t>
      </w:r>
    </w:p>
    <w:bookmarkStart w:name="z105" w:id="35"/>
    <w:p>
      <w:pPr>
        <w:spacing w:after="0"/>
        <w:ind w:left="0"/>
        <w:jc w:val="both"/>
      </w:pPr>
      <w:r>
        <w:rPr>
          <w:rFonts w:ascii="Times New Roman"/>
          <w:b w:val="false"/>
          <w:i w:val="false"/>
          <w:color w:val="000000"/>
          <w:sz w:val="28"/>
        </w:rPr>
        <w:t xml:space="preserve">
      22. Сервисы национальной (региональной) организации GS1 или национального централизованного ресурса по товарной номенклатуре должны предоставлять в национальный компонент следующую минимально обязательную информацию: </w:t>
      </w:r>
    </w:p>
    <w:bookmarkEnd w:id="35"/>
    <w:p>
      <w:pPr>
        <w:spacing w:after="0"/>
        <w:ind w:left="0"/>
        <w:jc w:val="both"/>
      </w:pPr>
      <w:r>
        <w:rPr>
          <w:rFonts w:ascii="Times New Roman"/>
          <w:b w:val="false"/>
          <w:i w:val="false"/>
          <w:color w:val="000000"/>
          <w:sz w:val="28"/>
        </w:rPr>
        <w:t>
      а) наименование товара;</w:t>
      </w:r>
    </w:p>
    <w:p>
      <w:pPr>
        <w:spacing w:after="0"/>
        <w:ind w:left="0"/>
        <w:jc w:val="both"/>
      </w:pPr>
      <w:r>
        <w:rPr>
          <w:rFonts w:ascii="Times New Roman"/>
          <w:b w:val="false"/>
          <w:i w:val="false"/>
          <w:color w:val="000000"/>
          <w:sz w:val="28"/>
        </w:rPr>
        <w:t>
      б) указание на нормативные документы, устанавливающие требования к качеству товара (для товара, выпускаемого по таким нормативным документам);</w:t>
      </w:r>
    </w:p>
    <w:p>
      <w:pPr>
        <w:spacing w:after="0"/>
        <w:ind w:left="0"/>
        <w:jc w:val="both"/>
      </w:pPr>
      <w:r>
        <w:rPr>
          <w:rFonts w:ascii="Times New Roman"/>
          <w:b w:val="false"/>
          <w:i w:val="false"/>
          <w:color w:val="000000"/>
          <w:sz w:val="28"/>
        </w:rPr>
        <w:t>
      в) наименование производителя товара (наименование юридического лица, или индивидуального предпринимателя), GLN (при наличии);</w:t>
      </w:r>
    </w:p>
    <w:p>
      <w:pPr>
        <w:spacing w:after="0"/>
        <w:ind w:left="0"/>
        <w:jc w:val="both"/>
      </w:pPr>
      <w:r>
        <w:rPr>
          <w:rFonts w:ascii="Times New Roman"/>
          <w:b w:val="false"/>
          <w:i w:val="false"/>
          <w:color w:val="000000"/>
          <w:sz w:val="28"/>
        </w:rPr>
        <w:t>
      г) разновидность товара (наименование материала, из которого изготовлен товар, и иные отличительные признаки товара (цвет, размер, модель и др.));</w:t>
      </w:r>
    </w:p>
    <w:p>
      <w:pPr>
        <w:spacing w:after="0"/>
        <w:ind w:left="0"/>
        <w:jc w:val="both"/>
      </w:pPr>
      <w:r>
        <w:rPr>
          <w:rFonts w:ascii="Times New Roman"/>
          <w:b w:val="false"/>
          <w:i w:val="false"/>
          <w:color w:val="000000"/>
          <w:sz w:val="28"/>
        </w:rPr>
        <w:t>
      д) изображение товара (в случае, если передача такой информации установлена законодательством государств-членов);</w:t>
      </w:r>
    </w:p>
    <w:p>
      <w:pPr>
        <w:spacing w:after="0"/>
        <w:ind w:left="0"/>
        <w:jc w:val="both"/>
      </w:pPr>
      <w:r>
        <w:rPr>
          <w:rFonts w:ascii="Times New Roman"/>
          <w:b w:val="false"/>
          <w:i w:val="false"/>
          <w:color w:val="000000"/>
          <w:sz w:val="28"/>
        </w:rPr>
        <w:t>
      е) страна происхождения товара;</w:t>
      </w:r>
    </w:p>
    <w:p>
      <w:pPr>
        <w:spacing w:after="0"/>
        <w:ind w:left="0"/>
        <w:jc w:val="both"/>
      </w:pPr>
      <w:r>
        <w:rPr>
          <w:rFonts w:ascii="Times New Roman"/>
          <w:b w:val="false"/>
          <w:i w:val="false"/>
          <w:color w:val="000000"/>
          <w:sz w:val="28"/>
        </w:rPr>
        <w:t>
      ж) единица измерения количества товара.</w:t>
      </w:r>
    </w:p>
    <w:bookmarkStart w:name="z113" w:id="36"/>
    <w:p>
      <w:pPr>
        <w:spacing w:after="0"/>
        <w:ind w:left="0"/>
        <w:jc w:val="left"/>
      </w:pPr>
      <w:r>
        <w:rPr>
          <w:rFonts w:ascii="Times New Roman"/>
          <w:b/>
          <w:i w:val="false"/>
          <w:color w:val="000000"/>
        </w:rPr>
        <w:t xml:space="preserve"> VI. Требования к техническим параметрам системы</w:t>
      </w:r>
    </w:p>
    <w:bookmarkEnd w:id="36"/>
    <w:bookmarkStart w:name="z114" w:id="37"/>
    <w:p>
      <w:pPr>
        <w:spacing w:after="0"/>
        <w:ind w:left="0"/>
        <w:jc w:val="both"/>
      </w:pPr>
      <w:r>
        <w:rPr>
          <w:rFonts w:ascii="Times New Roman"/>
          <w:b w:val="false"/>
          <w:i w:val="false"/>
          <w:color w:val="000000"/>
          <w:sz w:val="28"/>
        </w:rPr>
        <w:t>
      23. Информационная система маркировки товаров в целом и ее национальные компоненты должны обеспечивать постоянную доступность 24 часов в сутки, 7 дней в неделю, 365 дней в году.</w:t>
      </w:r>
    </w:p>
    <w:bookmarkEnd w:id="37"/>
    <w:bookmarkStart w:name="z115" w:id="38"/>
    <w:p>
      <w:pPr>
        <w:spacing w:after="0"/>
        <w:ind w:left="0"/>
        <w:jc w:val="both"/>
      </w:pPr>
      <w:r>
        <w:rPr>
          <w:rFonts w:ascii="Times New Roman"/>
          <w:b w:val="false"/>
          <w:i w:val="false"/>
          <w:color w:val="000000"/>
          <w:sz w:val="28"/>
        </w:rPr>
        <w:t>
      24. Время простоя системы должно составлять не более 24 часов в год.</w:t>
      </w:r>
    </w:p>
    <w:bookmarkEnd w:id="38"/>
    <w:bookmarkStart w:name="z116" w:id="39"/>
    <w:p>
      <w:pPr>
        <w:spacing w:after="0"/>
        <w:ind w:left="0"/>
        <w:jc w:val="both"/>
      </w:pPr>
      <w:r>
        <w:rPr>
          <w:rFonts w:ascii="Times New Roman"/>
          <w:b w:val="false"/>
          <w:i w:val="false"/>
          <w:color w:val="000000"/>
          <w:sz w:val="28"/>
        </w:rPr>
        <w:t>
      25. Национальный компонент должен хранить регламентированную информацию в течение установленного законодательством государства-члена срока, но не менее 3 лет.</w:t>
      </w:r>
    </w:p>
    <w:bookmarkEnd w:id="39"/>
    <w:bookmarkStart w:name="z117" w:id="40"/>
    <w:p>
      <w:pPr>
        <w:spacing w:after="0"/>
        <w:ind w:left="0"/>
        <w:jc w:val="both"/>
      </w:pPr>
      <w:r>
        <w:rPr>
          <w:rFonts w:ascii="Times New Roman"/>
          <w:b w:val="false"/>
          <w:i w:val="false"/>
          <w:color w:val="000000"/>
          <w:sz w:val="28"/>
        </w:rPr>
        <w:t xml:space="preserve">
      26. Национальный компонент должен обеспечивать хранение и обработку реестра маркированных товаров в количестве, равном </w:t>
      </w:r>
    </w:p>
    <w:bookmarkEnd w:id="40"/>
    <w:bookmarkStart w:name="z118" w:id="41"/>
    <w:p>
      <w:pPr>
        <w:spacing w:after="0"/>
        <w:ind w:left="0"/>
        <w:jc w:val="both"/>
      </w:pPr>
      <w:r>
        <w:rPr>
          <w:rFonts w:ascii="Times New Roman"/>
          <w:b w:val="false"/>
          <w:i w:val="false"/>
          <w:color w:val="000000"/>
          <w:sz w:val="28"/>
        </w:rPr>
        <w:t>
      3-кратному показателю среднегодового оборота государства-члена по всем подлежащим маркировке товарным позициям, но не менее 200 миллионов записей.</w:t>
      </w:r>
    </w:p>
    <w:bookmarkEnd w:id="41"/>
    <w:bookmarkStart w:name="z119" w:id="42"/>
    <w:p>
      <w:pPr>
        <w:spacing w:after="0"/>
        <w:ind w:left="0"/>
        <w:jc w:val="both"/>
      </w:pPr>
      <w:r>
        <w:rPr>
          <w:rFonts w:ascii="Times New Roman"/>
          <w:b w:val="false"/>
          <w:i w:val="false"/>
          <w:color w:val="000000"/>
          <w:sz w:val="28"/>
        </w:rPr>
        <w:t>
      27. Время отклика системы при запросе сведений о товарах не должно превышать 15 секунд.</w:t>
      </w:r>
    </w:p>
    <w:bookmarkEnd w:id="42"/>
    <w:bookmarkStart w:name="z120" w:id="43"/>
    <w:p>
      <w:pPr>
        <w:spacing w:after="0"/>
        <w:ind w:left="0"/>
        <w:jc w:val="both"/>
      </w:pPr>
      <w:r>
        <w:rPr>
          <w:rFonts w:ascii="Times New Roman"/>
          <w:b w:val="false"/>
          <w:i w:val="false"/>
          <w:color w:val="000000"/>
          <w:sz w:val="28"/>
        </w:rPr>
        <w:t>
      28. Количественный состав внешних пользователей национального компонента – юридических лиц и индивидуальных предпринимателей, осуществляющих оборот подлежащих маркировке товаров, – не должен быть ограничен.</w:t>
      </w:r>
    </w:p>
    <w:bookmarkEnd w:id="43"/>
    <w:bookmarkStart w:name="z121" w:id="44"/>
    <w:p>
      <w:pPr>
        <w:spacing w:after="0"/>
        <w:ind w:left="0"/>
        <w:jc w:val="both"/>
      </w:pPr>
      <w:r>
        <w:rPr>
          <w:rFonts w:ascii="Times New Roman"/>
          <w:b w:val="false"/>
          <w:i w:val="false"/>
          <w:color w:val="000000"/>
          <w:sz w:val="28"/>
        </w:rPr>
        <w:t xml:space="preserve">
      29. Система должна обеспечивать выполнение не менее чем 100 запросов в секунду от внешних пользователей. </w:t>
      </w:r>
    </w:p>
    <w:bookmarkEnd w:id="44"/>
    <w:bookmarkStart w:name="z122" w:id="45"/>
    <w:p>
      <w:pPr>
        <w:spacing w:after="0"/>
        <w:ind w:left="0"/>
        <w:jc w:val="both"/>
      </w:pPr>
      <w:r>
        <w:rPr>
          <w:rFonts w:ascii="Times New Roman"/>
          <w:b w:val="false"/>
          <w:i w:val="false"/>
          <w:color w:val="000000"/>
          <w:sz w:val="28"/>
        </w:rPr>
        <w:t>
      30. Количество кодов ТН ВЭД ЕАЭС для товаров и товарных групп, подлежащих маркировке, обрабатываемых в системе, не должно быть ограничено.</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декабря 2015 г. № 86</w:t>
            </w:r>
          </w:p>
        </w:tc>
      </w:tr>
    </w:tbl>
    <w:bookmarkStart w:name="z124" w:id="46"/>
    <w:p>
      <w:pPr>
        <w:spacing w:after="0"/>
        <w:ind w:left="0"/>
        <w:jc w:val="left"/>
      </w:pPr>
      <w:r>
        <w:rPr>
          <w:rFonts w:ascii="Times New Roman"/>
          <w:b/>
          <w:i w:val="false"/>
          <w:color w:val="000000"/>
        </w:rPr>
        <w:t xml:space="preserve"> ПОРЯДОК</w:t>
      </w:r>
      <w:r>
        <w:br/>
      </w:r>
      <w:r>
        <w:rPr>
          <w:rFonts w:ascii="Times New Roman"/>
          <w:b/>
          <w:i w:val="false"/>
          <w:color w:val="000000"/>
        </w:rPr>
        <w:t>взаимодействия компетентных (уполномоченных) органов</w:t>
      </w:r>
      <w:r>
        <w:br/>
      </w:r>
      <w:r>
        <w:rPr>
          <w:rFonts w:ascii="Times New Roman"/>
          <w:b/>
          <w:i w:val="false"/>
          <w:color w:val="000000"/>
        </w:rPr>
        <w:t xml:space="preserve">государств-членов и Евразийской экономической комиссии, </w:t>
      </w:r>
      <w:r>
        <w:br/>
      </w:r>
      <w:r>
        <w:rPr>
          <w:rFonts w:ascii="Times New Roman"/>
          <w:b/>
          <w:i w:val="false"/>
          <w:color w:val="000000"/>
        </w:rPr>
        <w:t>а также требования к структуре и формату информации,</w:t>
      </w:r>
      <w:r>
        <w:br/>
      </w:r>
      <w:r>
        <w:rPr>
          <w:rFonts w:ascii="Times New Roman"/>
          <w:b/>
          <w:i w:val="false"/>
          <w:color w:val="000000"/>
        </w:rPr>
        <w:t>передаваемой между компетентными (уполномоченными) органами</w:t>
      </w:r>
      <w:r>
        <w:br/>
      </w:r>
      <w:r>
        <w:rPr>
          <w:rFonts w:ascii="Times New Roman"/>
          <w:b/>
          <w:i w:val="false"/>
          <w:color w:val="000000"/>
        </w:rPr>
        <w:t>государств-членов и Евразийской экономической комиссией</w:t>
      </w:r>
      <w:r>
        <w:br/>
      </w:r>
      <w:r>
        <w:rPr>
          <w:rFonts w:ascii="Times New Roman"/>
          <w:b/>
          <w:i w:val="false"/>
          <w:color w:val="000000"/>
        </w:rPr>
        <w:t>I. Общие положения</w:t>
      </w:r>
    </w:p>
    <w:bookmarkEnd w:id="46"/>
    <w:bookmarkStart w:name="z126" w:id="47"/>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 и определяет порядок взаимодействия компетентных (уполномоченных) органов государств – членов Евразийского экономического союза (далее – государства-члены, Союз) и Евразийской экономической комиссии (далее – Комиссия) при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(далее – пилотный проект).</w:t>
      </w:r>
    </w:p>
    <w:bookmarkEnd w:id="47"/>
    <w:p>
      <w:pPr>
        <w:spacing w:after="0"/>
        <w:ind w:left="0"/>
        <w:jc w:val="both"/>
      </w:pPr>
      <w:r>
        <w:rPr>
          <w:rFonts w:ascii="Times New Roman"/>
          <w:b w:val="false"/>
          <w:i w:val="false"/>
          <w:color w:val="000000"/>
          <w:sz w:val="28"/>
        </w:rPr>
        <w:t>
      Прочая деятельность по взаимодействию компетентных (уполномоченных) органов и Комиссии при реализации пилотного проекта осуществляется в соответствии с Регламентом работы Евразийской экономической комиссии.</w:t>
      </w:r>
    </w:p>
    <w:bookmarkStart w:name="z128" w:id="48"/>
    <w:p>
      <w:pPr>
        <w:spacing w:after="0"/>
        <w:ind w:left="0"/>
        <w:jc w:val="both"/>
      </w:pPr>
      <w:r>
        <w:rPr>
          <w:rFonts w:ascii="Times New Roman"/>
          <w:b w:val="false"/>
          <w:i w:val="false"/>
          <w:color w:val="000000"/>
          <w:sz w:val="28"/>
        </w:rPr>
        <w:t xml:space="preserve">
      2. Описание структуры и формата информации, передаваемой между компетентными (уполномоченными) органами и Комиссией, а также технические требования к реализации информационного взаимодействия в соответствии с настоящим Порядком определяются при регламентации информационного взаимодействия в рамках общих процессов, утверждаемых Комиссией. Общие требования к структуре и формату информации, передаваемой между компетентными (уполномоченными) органами и Комиссией, представлены в </w:t>
      </w:r>
      <w:r>
        <w:rPr>
          <w:rFonts w:ascii="Times New Roman"/>
          <w:b w:val="false"/>
          <w:i w:val="false"/>
          <w:color w:val="000000"/>
          <w:sz w:val="28"/>
        </w:rPr>
        <w:t>Приложении</w:t>
      </w:r>
      <w:r>
        <w:rPr>
          <w:rFonts w:ascii="Times New Roman"/>
          <w:b w:val="false"/>
          <w:i w:val="false"/>
          <w:color w:val="000000"/>
          <w:sz w:val="28"/>
        </w:rPr>
        <w:t>.</w:t>
      </w:r>
    </w:p>
    <w:bookmarkEnd w:id="48"/>
    <w:bookmarkStart w:name="z129" w:id="49"/>
    <w:p>
      <w:pPr>
        <w:spacing w:after="0"/>
        <w:ind w:left="0"/>
        <w:jc w:val="left"/>
      </w:pPr>
      <w:r>
        <w:rPr>
          <w:rFonts w:ascii="Times New Roman"/>
          <w:b/>
          <w:i w:val="false"/>
          <w:color w:val="000000"/>
        </w:rPr>
        <w:t xml:space="preserve"> II. Взаимодействие при ведении нормативно-справочной информации</w:t>
      </w:r>
      <w:r>
        <w:br/>
      </w:r>
      <w:r>
        <w:rPr>
          <w:rFonts w:ascii="Times New Roman"/>
          <w:b/>
          <w:i w:val="false"/>
          <w:color w:val="000000"/>
        </w:rPr>
        <w:t>и аналитической отчетности</w:t>
      </w:r>
    </w:p>
    <w:bookmarkEnd w:id="49"/>
    <w:bookmarkStart w:name="z130" w:id="50"/>
    <w:p>
      <w:pPr>
        <w:spacing w:after="0"/>
        <w:ind w:left="0"/>
        <w:jc w:val="both"/>
      </w:pPr>
      <w:r>
        <w:rPr>
          <w:rFonts w:ascii="Times New Roman"/>
          <w:b w:val="false"/>
          <w:i w:val="false"/>
          <w:color w:val="000000"/>
          <w:sz w:val="28"/>
        </w:rPr>
        <w:t xml:space="preserve">
      3. Комиссия при реализации пилотного проекта осуществляет ведение: </w:t>
      </w:r>
    </w:p>
    <w:bookmarkEnd w:id="50"/>
    <w:p>
      <w:pPr>
        <w:spacing w:after="0"/>
        <w:ind w:left="0"/>
        <w:jc w:val="both"/>
      </w:pPr>
      <w:r>
        <w:rPr>
          <w:rFonts w:ascii="Times New Roman"/>
          <w:b w:val="false"/>
          <w:i w:val="false"/>
          <w:color w:val="000000"/>
          <w:sz w:val="28"/>
        </w:rPr>
        <w:t>
      а) общего реестра эмитентов контрольных (идентификационных) знаков;</w:t>
      </w:r>
    </w:p>
    <w:p>
      <w:pPr>
        <w:spacing w:after="0"/>
        <w:ind w:left="0"/>
        <w:jc w:val="both"/>
      </w:pPr>
      <w:r>
        <w:rPr>
          <w:rFonts w:ascii="Times New Roman"/>
          <w:b w:val="false"/>
          <w:i w:val="false"/>
          <w:color w:val="000000"/>
          <w:sz w:val="28"/>
        </w:rPr>
        <w:t>
      б) перечня товаров, подлежащих маркировке контрольными (идентификационными) знаками;</w:t>
      </w:r>
    </w:p>
    <w:p>
      <w:pPr>
        <w:spacing w:after="0"/>
        <w:ind w:left="0"/>
        <w:jc w:val="both"/>
      </w:pPr>
      <w:r>
        <w:rPr>
          <w:rFonts w:ascii="Times New Roman"/>
          <w:b w:val="false"/>
          <w:i w:val="false"/>
          <w:color w:val="000000"/>
          <w:sz w:val="28"/>
        </w:rPr>
        <w:t>
      в) прочей нормативно-справочной информации в рамках интегрированной информационной системы Евразийского экономического союза (далее – интегрированная система).</w:t>
      </w:r>
    </w:p>
    <w:bookmarkStart w:name="z134" w:id="51"/>
    <w:p>
      <w:pPr>
        <w:spacing w:after="0"/>
        <w:ind w:left="0"/>
        <w:jc w:val="both"/>
      </w:pPr>
      <w:r>
        <w:rPr>
          <w:rFonts w:ascii="Times New Roman"/>
          <w:b w:val="false"/>
          <w:i w:val="false"/>
          <w:color w:val="000000"/>
          <w:sz w:val="28"/>
        </w:rPr>
        <w:t>
      4. Компетентные (уполномоченные) органы при реализации пилотного проекта осуществляют ведение:</w:t>
      </w:r>
    </w:p>
    <w:bookmarkEnd w:id="51"/>
    <w:p>
      <w:pPr>
        <w:spacing w:after="0"/>
        <w:ind w:left="0"/>
        <w:jc w:val="both"/>
      </w:pPr>
      <w:r>
        <w:rPr>
          <w:rFonts w:ascii="Times New Roman"/>
          <w:b w:val="false"/>
          <w:i w:val="false"/>
          <w:color w:val="000000"/>
          <w:sz w:val="28"/>
        </w:rPr>
        <w:t>
      а) национальных реестров эмитентов контрольных (идентификационных) знаков;</w:t>
      </w:r>
    </w:p>
    <w:p>
      <w:pPr>
        <w:spacing w:after="0"/>
        <w:ind w:left="0"/>
        <w:jc w:val="both"/>
      </w:pPr>
      <w:r>
        <w:rPr>
          <w:rFonts w:ascii="Times New Roman"/>
          <w:b w:val="false"/>
          <w:i w:val="false"/>
          <w:color w:val="000000"/>
          <w:sz w:val="28"/>
        </w:rPr>
        <w:t>
      б) национальных реестров товаров, подлежащих маркировке контрольными (идентификационными) знаками.</w:t>
      </w:r>
    </w:p>
    <w:bookmarkStart w:name="z137" w:id="52"/>
    <w:p>
      <w:pPr>
        <w:spacing w:after="0"/>
        <w:ind w:left="0"/>
        <w:jc w:val="both"/>
      </w:pPr>
      <w:r>
        <w:rPr>
          <w:rFonts w:ascii="Times New Roman"/>
          <w:b w:val="false"/>
          <w:i w:val="false"/>
          <w:color w:val="000000"/>
          <w:sz w:val="28"/>
        </w:rPr>
        <w:t>
      5. Компетентные (уполномоченные) органы направляют национальные реестры эмитентов контрольных (идентификационных) знаков в Комиссию для целей формирования общего реестра эмитентов контрольных (идентификационных) знаков.</w:t>
      </w:r>
    </w:p>
    <w:bookmarkEnd w:id="52"/>
    <w:p>
      <w:pPr>
        <w:spacing w:after="0"/>
        <w:ind w:left="0"/>
        <w:jc w:val="both"/>
      </w:pPr>
      <w:r>
        <w:rPr>
          <w:rFonts w:ascii="Times New Roman"/>
          <w:b w:val="false"/>
          <w:i w:val="false"/>
          <w:color w:val="000000"/>
          <w:sz w:val="28"/>
        </w:rPr>
        <w:t>
      Комиссия обеспечивает формирование и ведение общего реестра эмитентов контрольных (идентификационных) знаков, а также обеспечивает возможность его использования компетентными (уполномоченными) органами и всеми заинтересованными лицами.</w:t>
      </w:r>
    </w:p>
    <w:bookmarkStart w:name="z139" w:id="53"/>
    <w:p>
      <w:pPr>
        <w:spacing w:after="0"/>
        <w:ind w:left="0"/>
        <w:jc w:val="both"/>
      </w:pPr>
      <w:r>
        <w:rPr>
          <w:rFonts w:ascii="Times New Roman"/>
          <w:b w:val="false"/>
          <w:i w:val="false"/>
          <w:color w:val="000000"/>
          <w:sz w:val="28"/>
        </w:rPr>
        <w:t>
      6. Информация, содержащаяся в общем реестре эмитентов контрольных (идентификационных) знаков, публикуется на официальном сайте Союза в информационно-телекоммуникационной сети "Интернет".</w:t>
      </w:r>
    </w:p>
    <w:bookmarkEnd w:id="53"/>
    <w:p>
      <w:pPr>
        <w:spacing w:after="0"/>
        <w:ind w:left="0"/>
        <w:jc w:val="both"/>
      </w:pPr>
      <w:r>
        <w:rPr>
          <w:rFonts w:ascii="Times New Roman"/>
          <w:b w:val="false"/>
          <w:i w:val="false"/>
          <w:color w:val="000000"/>
          <w:sz w:val="28"/>
        </w:rPr>
        <w:t>
      Комиссия осуществляет публикацию перечня товаров, подлежащих маркировке контрольными (идентификационными) знаками на территории Союза, на официальном сайте Союза в информационно-телекоммуникационной сети "Интернет".</w:t>
      </w:r>
    </w:p>
    <w:p>
      <w:pPr>
        <w:spacing w:after="0"/>
        <w:ind w:left="0"/>
        <w:jc w:val="both"/>
      </w:pPr>
      <w:r>
        <w:rPr>
          <w:rFonts w:ascii="Times New Roman"/>
          <w:b w:val="false"/>
          <w:i w:val="false"/>
          <w:color w:val="000000"/>
          <w:sz w:val="28"/>
        </w:rPr>
        <w:t>
      На основании перечня товаров, подлежащих маркировке контрольными (идентификационными) знаками, компетентные (уполномоченные) органы осуществляют публикацию национальных реестров товаров, подлежащих маркировке контрольными (идентификационными) знаками.</w:t>
      </w:r>
    </w:p>
    <w:bookmarkStart w:name="z142" w:id="54"/>
    <w:p>
      <w:pPr>
        <w:spacing w:after="0"/>
        <w:ind w:left="0"/>
        <w:jc w:val="both"/>
      </w:pPr>
      <w:r>
        <w:rPr>
          <w:rFonts w:ascii="Times New Roman"/>
          <w:b w:val="false"/>
          <w:i w:val="false"/>
          <w:color w:val="000000"/>
          <w:sz w:val="28"/>
        </w:rPr>
        <w:t>
      7. Для формирования аналитической отчетности Комиссии по каждому контрольному (идентификационному) знаку должна представляться по запросу в автоматизированном режиме с использованием сервисов национальных компонентов информационной системы маркировки товаров следующая информация по товарам, выпущенным в оборот на территории Союза, реализованным в рамках трансграничной торговли и выведенным из оборота (в случае, если соответствующие нормы предусмотрены законодательством государства-члена):</w:t>
      </w:r>
    </w:p>
    <w:bookmarkEnd w:id="54"/>
    <w:p>
      <w:pPr>
        <w:spacing w:after="0"/>
        <w:ind w:left="0"/>
        <w:jc w:val="both"/>
      </w:pPr>
      <w:r>
        <w:rPr>
          <w:rFonts w:ascii="Times New Roman"/>
          <w:b w:val="false"/>
          <w:i w:val="false"/>
          <w:color w:val="000000"/>
          <w:sz w:val="28"/>
        </w:rPr>
        <w:t>
      а) идентификатор контрольного (идентификационного) знака;</w:t>
      </w:r>
    </w:p>
    <w:p>
      <w:pPr>
        <w:spacing w:after="0"/>
        <w:ind w:left="0"/>
        <w:jc w:val="both"/>
      </w:pPr>
      <w:r>
        <w:rPr>
          <w:rFonts w:ascii="Times New Roman"/>
          <w:b w:val="false"/>
          <w:i w:val="false"/>
          <w:color w:val="000000"/>
          <w:sz w:val="28"/>
        </w:rPr>
        <w:t>
      б) номер налогоплательщика – заказчика контрольного (идентификационного) знака;</w:t>
      </w:r>
    </w:p>
    <w:p>
      <w:pPr>
        <w:spacing w:after="0"/>
        <w:ind w:left="0"/>
        <w:jc w:val="both"/>
      </w:pPr>
      <w:r>
        <w:rPr>
          <w:rFonts w:ascii="Times New Roman"/>
          <w:b w:val="false"/>
          <w:i w:val="false"/>
          <w:color w:val="000000"/>
          <w:sz w:val="28"/>
        </w:rPr>
        <w:t>
      в) десятизначный код товара по ТН ВЭД ЕАЭС;</w:t>
      </w:r>
    </w:p>
    <w:p>
      <w:pPr>
        <w:spacing w:after="0"/>
        <w:ind w:left="0"/>
        <w:jc w:val="both"/>
      </w:pPr>
      <w:r>
        <w:rPr>
          <w:rFonts w:ascii="Times New Roman"/>
          <w:b w:val="false"/>
          <w:i w:val="false"/>
          <w:color w:val="000000"/>
          <w:sz w:val="28"/>
        </w:rPr>
        <w:t>
      г) способ выпуска в обращение товара (ввоз на таможенную территорию Союза или производство на территориях государств-членов);</w:t>
      </w:r>
    </w:p>
    <w:p>
      <w:pPr>
        <w:spacing w:after="0"/>
        <w:ind w:left="0"/>
        <w:jc w:val="both"/>
      </w:pPr>
      <w:r>
        <w:rPr>
          <w:rFonts w:ascii="Times New Roman"/>
          <w:b w:val="false"/>
          <w:i w:val="false"/>
          <w:color w:val="000000"/>
          <w:sz w:val="28"/>
        </w:rPr>
        <w:t>
      д) дата реализации контрольного (идентификационного) знака;</w:t>
      </w:r>
    </w:p>
    <w:p>
      <w:pPr>
        <w:spacing w:after="0"/>
        <w:ind w:left="0"/>
        <w:jc w:val="both"/>
      </w:pPr>
      <w:r>
        <w:rPr>
          <w:rFonts w:ascii="Times New Roman"/>
          <w:b w:val="false"/>
          <w:i w:val="false"/>
          <w:color w:val="000000"/>
          <w:sz w:val="28"/>
        </w:rPr>
        <w:t>
      е) регистрационный номер декларации на товары;</w:t>
      </w:r>
    </w:p>
    <w:p>
      <w:pPr>
        <w:spacing w:after="0"/>
        <w:ind w:left="0"/>
        <w:jc w:val="both"/>
      </w:pPr>
      <w:r>
        <w:rPr>
          <w:rFonts w:ascii="Times New Roman"/>
          <w:b w:val="false"/>
          <w:i w:val="false"/>
          <w:color w:val="000000"/>
          <w:sz w:val="28"/>
        </w:rPr>
        <w:t>
      ж) глобальный номер товарной единицы (GTIN) и глобальный номер местоположения организации-импортера или организации-производителя (GLN);</w:t>
      </w:r>
    </w:p>
    <w:p>
      <w:pPr>
        <w:spacing w:after="0"/>
        <w:ind w:left="0"/>
        <w:jc w:val="both"/>
      </w:pPr>
      <w:r>
        <w:rPr>
          <w:rFonts w:ascii="Times New Roman"/>
          <w:b w:val="false"/>
          <w:i w:val="false"/>
          <w:color w:val="000000"/>
          <w:sz w:val="28"/>
        </w:rPr>
        <w:t>
      з) способ вывода товара из обращения (продажа, уничтожение) (при наличии такой информации в национальном компоненте информационной системы маркировки товаров);</w:t>
      </w:r>
    </w:p>
    <w:p>
      <w:pPr>
        <w:spacing w:after="0"/>
        <w:ind w:left="0"/>
        <w:jc w:val="both"/>
      </w:pPr>
      <w:r>
        <w:rPr>
          <w:rFonts w:ascii="Times New Roman"/>
          <w:b w:val="false"/>
          <w:i w:val="false"/>
          <w:color w:val="000000"/>
          <w:sz w:val="28"/>
        </w:rPr>
        <w:t>
      и) дата вывода товара из оборота (при наличии в национальном компоненте информационной системы маркировки);</w:t>
      </w:r>
    </w:p>
    <w:p>
      <w:pPr>
        <w:spacing w:after="0"/>
        <w:ind w:left="0"/>
        <w:jc w:val="both"/>
      </w:pPr>
      <w:r>
        <w:rPr>
          <w:rFonts w:ascii="Times New Roman"/>
          <w:b w:val="false"/>
          <w:i w:val="false"/>
          <w:color w:val="000000"/>
          <w:sz w:val="28"/>
        </w:rPr>
        <w:t>
      к) способ маркировки (до выпуска, после выпуска) при ввозе товаров на таможенную территорию Союза.</w:t>
      </w:r>
    </w:p>
    <w:p>
      <w:pPr>
        <w:spacing w:after="0"/>
        <w:ind w:left="0"/>
        <w:jc w:val="both"/>
      </w:pPr>
      <w:r>
        <w:rPr>
          <w:rFonts w:ascii="Times New Roman"/>
          <w:b w:val="false"/>
          <w:i w:val="false"/>
          <w:color w:val="000000"/>
          <w:sz w:val="28"/>
        </w:rPr>
        <w:t>
      Информационный обмен между компетентными (уполномоченными) органами и Комиссией осуществляется в соответствии с утверждаемыми Комиссией технологическими документами, регламентирующими информационное взаимодействие при реализации средствами интегрированной системы общих процессов.</w:t>
      </w:r>
    </w:p>
    <w:bookmarkStart w:name="z154" w:id="55"/>
    <w:p>
      <w:pPr>
        <w:spacing w:after="0"/>
        <w:ind w:left="0"/>
        <w:jc w:val="left"/>
      </w:pPr>
      <w:r>
        <w:rPr>
          <w:rFonts w:ascii="Times New Roman"/>
          <w:b/>
          <w:i w:val="false"/>
          <w:color w:val="000000"/>
        </w:rPr>
        <w:t xml:space="preserve"> III. Взаимодействие при эмиссии контрольных (идентификационных)</w:t>
      </w:r>
      <w:r>
        <w:br/>
      </w:r>
      <w:r>
        <w:rPr>
          <w:rFonts w:ascii="Times New Roman"/>
          <w:b/>
          <w:i w:val="false"/>
          <w:color w:val="000000"/>
        </w:rPr>
        <w:t>знаков</w:t>
      </w:r>
    </w:p>
    <w:bookmarkEnd w:id="55"/>
    <w:bookmarkStart w:name="z155" w:id="56"/>
    <w:p>
      <w:pPr>
        <w:spacing w:after="0"/>
        <w:ind w:left="0"/>
        <w:jc w:val="both"/>
      </w:pPr>
      <w:r>
        <w:rPr>
          <w:rFonts w:ascii="Times New Roman"/>
          <w:b w:val="false"/>
          <w:i w:val="false"/>
          <w:color w:val="000000"/>
          <w:sz w:val="28"/>
        </w:rPr>
        <w:t>
      8. Компетентные (уполномоченные) органы через национальный компонент информационной системы маркировки товаров осуществляют информационный обмен с организациями, осуществляющими изготовление и (или) реализацию юридическим лицам и индивидуальным предпринимателям государств-членов контрольных (идентификационных) знаков.</w:t>
      </w:r>
    </w:p>
    <w:bookmarkEnd w:id="56"/>
    <w:bookmarkStart w:name="z156" w:id="57"/>
    <w:p>
      <w:pPr>
        <w:spacing w:after="0"/>
        <w:ind w:left="0"/>
        <w:jc w:val="left"/>
      </w:pPr>
      <w:r>
        <w:rPr>
          <w:rFonts w:ascii="Times New Roman"/>
          <w:b/>
          <w:i w:val="false"/>
          <w:color w:val="000000"/>
        </w:rPr>
        <w:t xml:space="preserve"> IV. Взаимодействие при трансграничном обороте товаров</w:t>
      </w:r>
    </w:p>
    <w:bookmarkEnd w:id="57"/>
    <w:bookmarkStart w:name="z157" w:id="58"/>
    <w:p>
      <w:pPr>
        <w:spacing w:after="0"/>
        <w:ind w:left="0"/>
        <w:jc w:val="both"/>
      </w:pPr>
      <w:r>
        <w:rPr>
          <w:rFonts w:ascii="Times New Roman"/>
          <w:b w:val="false"/>
          <w:i w:val="false"/>
          <w:color w:val="000000"/>
          <w:sz w:val="28"/>
        </w:rPr>
        <w:t>
      9. Компетентные (уполномоченные) органы посредством интегрированной системы осуществляют информационный обмен при трансграничном обороте товаров.</w:t>
      </w:r>
    </w:p>
    <w:bookmarkEnd w:id="58"/>
    <w:p>
      <w:pPr>
        <w:spacing w:after="0"/>
        <w:ind w:left="0"/>
        <w:jc w:val="both"/>
      </w:pPr>
      <w:r>
        <w:rPr>
          <w:rFonts w:ascii="Times New Roman"/>
          <w:b w:val="false"/>
          <w:i w:val="false"/>
          <w:color w:val="000000"/>
          <w:sz w:val="28"/>
        </w:rPr>
        <w:t>
      При трансграничном обороте товаров компетентный (уполномоченный) орган государства-члена, экспортировавшего товар на территорию другого государства-члена, по запросу компетентного (уполномоченного) органа государства-члена, импортировавшего товар, в режиме реального времени посредством интегрированной системы передает информацию о товаре с идентификационным номером (идентификатором) контрольного (идентификационного) знака, в соответствии с документом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а также сроки передачи такой информации" и Приложением.</w:t>
      </w:r>
    </w:p>
    <w:p>
      <w:pPr>
        <w:spacing w:after="0"/>
        <w:ind w:left="0"/>
        <w:jc w:val="both"/>
      </w:pPr>
      <w:r>
        <w:rPr>
          <w:rFonts w:ascii="Times New Roman"/>
          <w:b w:val="false"/>
          <w:i w:val="false"/>
          <w:color w:val="000000"/>
          <w:sz w:val="28"/>
        </w:rPr>
        <w:t>
      Информационный обмен между компетентными (уполномоченными) органами осуществляется в соответствии с утверждаемыми Комиссией технологическими документами, регламентирующими информационное взаимодействие при реализации средствами интегрированной системы общих процессов.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2 декабря 2015 г. № 86</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в редакции решения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61" w:id="59"/>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товарной позиции "Предметы одежды, принадлежности к одежде и прочие изделия, из натурального меха",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 – членов Евразийского экономического союза и Евразийской экономической комиссией</w:t>
      </w:r>
    </w:p>
    <w:bookmarkEnd w:id="59"/>
    <w:p>
      <w:pPr>
        <w:spacing w:after="0"/>
        <w:ind w:left="0"/>
        <w:jc w:val="both"/>
      </w:pPr>
      <w:r>
        <w:rPr>
          <w:rFonts w:ascii="Times New Roman"/>
          <w:b w:val="false"/>
          <w:i w:val="false"/>
          <w:color w:val="ff0000"/>
          <w:sz w:val="28"/>
        </w:rPr>
        <w:t xml:space="preserve">
      Сноска. Заголовок в редакции решения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62" w:id="60"/>
    <w:p>
      <w:pPr>
        <w:spacing w:after="0"/>
        <w:ind w:left="0"/>
        <w:jc w:val="both"/>
      </w:pPr>
      <w:r>
        <w:rPr>
          <w:rFonts w:ascii="Times New Roman"/>
          <w:b w:val="false"/>
          <w:i w:val="false"/>
          <w:color w:val="000000"/>
          <w:sz w:val="28"/>
        </w:rPr>
        <w:t>
      1. Настоящие требования устанавливают формат и общие требования к составу и структуре сведений о маркированных товарах товарной позиции "Предметы одежды, принадлежности к одежде и прочие изделия, из натурального меха", передаваемых (представляемых) в Евразийскую экономическую комиссию (далее – Комиссия) компетентными (уполномоченными) органами государств – членов Евразийского экономического союза (далее – компетентные (уполномоченные) органы) в целях формирования ведения общего реестра эмитентов контрольных (идентификационных) знаков, формирования аналитической отчетности, а также сведений, передаваемых между компетентными (уполномоченными) органами при реализации товаров в рамках трансграничной торговли.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3" w:id="61"/>
    <w:p>
      <w:pPr>
        <w:spacing w:after="0"/>
        <w:ind w:left="0"/>
        <w:jc w:val="both"/>
      </w:pPr>
      <w:r>
        <w:rPr>
          <w:rFonts w:ascii="Times New Roman"/>
          <w:b w:val="false"/>
          <w:i w:val="false"/>
          <w:color w:val="000000"/>
          <w:sz w:val="28"/>
        </w:rPr>
        <w:t>
      2. Данные должны формироваться в XML-формате в соответствии со следующими стандартами:</w:t>
      </w:r>
    </w:p>
    <w:bookmarkEnd w:id="61"/>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p>
      <w:pPr>
        <w:spacing w:after="0"/>
        <w:ind w:left="0"/>
        <w:jc w:val="both"/>
      </w:pPr>
      <w:r>
        <w:rPr>
          <w:rFonts w:ascii="Times New Roman"/>
          <w:b w:val="false"/>
          <w:i w:val="false"/>
          <w:color w:val="000000"/>
          <w:sz w:val="28"/>
        </w:rPr>
        <w:t>
      "XML Schema Part 1: Structures" и "XML Schema Part 2: Datatypes" (опубликованы в информационно-телекоммуникационной сети "Интернет" по адресам http://www.w3.org/TR/xmlschema-1/ и http://www.w3.org/TR/xmlschema-2/).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4" w:id="62"/>
    <w:p>
      <w:pPr>
        <w:spacing w:after="0"/>
        <w:ind w:left="0"/>
        <w:jc w:val="both"/>
      </w:pPr>
      <w:r>
        <w:rPr>
          <w:rFonts w:ascii="Times New Roman"/>
          <w:b w:val="false"/>
          <w:i w:val="false"/>
          <w:color w:val="000000"/>
          <w:sz w:val="28"/>
        </w:rPr>
        <w:t xml:space="preserve">
      3. Общие требования к составу и структуре сведений, направляемых компетентными (уполномоченными) органами в Комиссию в целях формирования и ведения общего реестра эмитентов контрольных (идентификационных) знаков, приведены в </w:t>
      </w:r>
      <w:r>
        <w:rPr>
          <w:rFonts w:ascii="Times New Roman"/>
          <w:b w:val="false"/>
          <w:i w:val="false"/>
          <w:color w:val="000000"/>
          <w:sz w:val="28"/>
        </w:rPr>
        <w:t>таблице 1</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5" w:id="63"/>
    <w:p>
      <w:pPr>
        <w:spacing w:after="0"/>
        <w:ind w:left="0"/>
        <w:jc w:val="both"/>
      </w:pPr>
      <w:r>
        <w:rPr>
          <w:rFonts w:ascii="Times New Roman"/>
          <w:b w:val="false"/>
          <w:i w:val="false"/>
          <w:color w:val="000000"/>
          <w:sz w:val="28"/>
        </w:rPr>
        <w:t xml:space="preserve">
      4. Общие требования к составу и структуре сведений, получаемых Комиссией по запросу от компетентных (уполномоченных) органов в целях формирования аналитической отчетности, приведены в </w:t>
      </w:r>
      <w:r>
        <w:rPr>
          <w:rFonts w:ascii="Times New Roman"/>
          <w:b w:val="false"/>
          <w:i w:val="false"/>
          <w:color w:val="000000"/>
          <w:sz w:val="28"/>
        </w:rPr>
        <w:t>таблице 2</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6" w:id="64"/>
    <w:p>
      <w:pPr>
        <w:spacing w:after="0"/>
        <w:ind w:left="0"/>
        <w:jc w:val="both"/>
      </w:pPr>
      <w:r>
        <w:rPr>
          <w:rFonts w:ascii="Times New Roman"/>
          <w:b w:val="false"/>
          <w:i w:val="false"/>
          <w:color w:val="000000"/>
          <w:sz w:val="28"/>
        </w:rPr>
        <w:t>
      5. Общие требования к составу и структуре сведений, передаваемых компетентным (уполномоченным) органом государства-члена, с территории которого товар экспортирован на территорию другого государства-члена, по запросу компетентного (уполномоченного) органа этого другого государства-члена, приведены в таблице 3.</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7" w:id="65"/>
    <w:p>
      <w:pPr>
        <w:spacing w:after="0"/>
        <w:ind w:left="0"/>
        <w:jc w:val="both"/>
      </w:pPr>
      <w:r>
        <w:rPr>
          <w:rFonts w:ascii="Times New Roman"/>
          <w:b w:val="false"/>
          <w:i w:val="false"/>
          <w:color w:val="000000"/>
          <w:sz w:val="28"/>
        </w:rPr>
        <w:t>
      5. В таблицах формируются следующие поля (графы):</w:t>
      </w:r>
    </w:p>
    <w:bookmarkEnd w:id="65"/>
    <w:p>
      <w:pPr>
        <w:spacing w:after="0"/>
        <w:ind w:left="0"/>
        <w:jc w:val="both"/>
      </w:pPr>
      <w:r>
        <w:rPr>
          <w:rFonts w:ascii="Times New Roman"/>
          <w:b w:val="false"/>
          <w:i w:val="false"/>
          <w:color w:val="000000"/>
          <w:sz w:val="28"/>
        </w:rPr>
        <w:t>
      "наименование элемента" – порядковый номер, идентификатор и устоявшееся или официальное словесное обозначение элемента;</w:t>
      </w:r>
    </w:p>
    <w:p>
      <w:pPr>
        <w:spacing w:after="0"/>
        <w:ind w:left="0"/>
        <w:jc w:val="both"/>
      </w:pPr>
      <w:r>
        <w:rPr>
          <w:rFonts w:ascii="Times New Roman"/>
          <w:b w:val="false"/>
          <w:i w:val="false"/>
          <w:color w:val="000000"/>
          <w:sz w:val="28"/>
        </w:rPr>
        <w:t>
      "описание элемента" – текст, поясняющий смысл (семантику) элемента;</w:t>
      </w:r>
    </w:p>
    <w:p>
      <w:pPr>
        <w:spacing w:after="0"/>
        <w:ind w:left="0"/>
        <w:jc w:val="both"/>
      </w:pPr>
      <w:r>
        <w:rPr>
          <w:rFonts w:ascii="Times New Roman"/>
          <w:b w:val="false"/>
          <w:i w:val="false"/>
          <w:color w:val="000000"/>
          <w:sz w:val="28"/>
        </w:rPr>
        <w:t>
      "примечание"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p>
      <w:pPr>
        <w:spacing w:after="0"/>
        <w:ind w:left="0"/>
        <w:jc w:val="both"/>
      </w:pPr>
      <w:r>
        <w:rPr>
          <w:rFonts w:ascii="Times New Roman"/>
          <w:b w:val="false"/>
          <w:i w:val="false"/>
          <w:color w:val="000000"/>
          <w:sz w:val="28"/>
        </w:rPr>
        <w:t>
      "мн." – множественность элементов (обязательность (опциональность) и количество возможных повторений элемента).</w:t>
      </w:r>
    </w:p>
    <w:bookmarkStart w:name="z168" w:id="66"/>
    <w:p>
      <w:pPr>
        <w:spacing w:after="0"/>
        <w:ind w:left="0"/>
        <w:jc w:val="both"/>
      </w:pPr>
      <w:r>
        <w:rPr>
          <w:rFonts w:ascii="Times New Roman"/>
          <w:b w:val="false"/>
          <w:i w:val="false"/>
          <w:color w:val="000000"/>
          <w:sz w:val="28"/>
        </w:rPr>
        <w:t>
      6. Для указания множественности элементов передаваемых данных используются следующие обозначения:</w:t>
      </w:r>
    </w:p>
    <w:bookmarkEnd w:id="66"/>
    <w:p>
      <w:pPr>
        <w:spacing w:after="0"/>
        <w:ind w:left="0"/>
        <w:jc w:val="both"/>
      </w:pPr>
      <w:r>
        <w:rPr>
          <w:rFonts w:ascii="Times New Roman"/>
          <w:b w:val="false"/>
          <w:i w:val="false"/>
          <w:color w:val="000000"/>
          <w:sz w:val="28"/>
        </w:rPr>
        <w:t xml:space="preserve">
      1 – элемент обязателен, повторения не допускаются; </w:t>
      </w:r>
    </w:p>
    <w:p>
      <w:pPr>
        <w:spacing w:after="0"/>
        <w:ind w:left="0"/>
        <w:jc w:val="both"/>
      </w:pPr>
      <w:r>
        <w:rPr>
          <w:rFonts w:ascii="Times New Roman"/>
          <w:b w:val="false"/>
          <w:i w:val="false"/>
          <w:color w:val="000000"/>
          <w:sz w:val="28"/>
        </w:rPr>
        <w:t>
      n – элемент обязателен, должен повторяться n раз (n &gt; 1);</w:t>
      </w:r>
    </w:p>
    <w:p>
      <w:pPr>
        <w:spacing w:after="0"/>
        <w:ind w:left="0"/>
        <w:jc w:val="both"/>
      </w:pPr>
      <w:r>
        <w:rPr>
          <w:rFonts w:ascii="Times New Roman"/>
          <w:b w:val="false"/>
          <w:i w:val="false"/>
          <w:color w:val="000000"/>
          <w:sz w:val="28"/>
        </w:rPr>
        <w:t>
      1..* – элемент обязателен, может повторяться без ограничений;</w:t>
      </w:r>
    </w:p>
    <w:p>
      <w:pPr>
        <w:spacing w:after="0"/>
        <w:ind w:left="0"/>
        <w:jc w:val="both"/>
      </w:pPr>
      <w:r>
        <w:rPr>
          <w:rFonts w:ascii="Times New Roman"/>
          <w:b w:val="false"/>
          <w:i w:val="false"/>
          <w:color w:val="000000"/>
          <w:sz w:val="28"/>
        </w:rPr>
        <w:t>
      n..* – элемент обязателен, должен повторяться не менее n раз (n &gt; 1);</w:t>
      </w:r>
    </w:p>
    <w:p>
      <w:pPr>
        <w:spacing w:after="0"/>
        <w:ind w:left="0"/>
        <w:jc w:val="both"/>
      </w:pPr>
      <w:r>
        <w:rPr>
          <w:rFonts w:ascii="Times New Roman"/>
          <w:b w:val="false"/>
          <w:i w:val="false"/>
          <w:color w:val="000000"/>
          <w:sz w:val="28"/>
        </w:rPr>
        <w:t>
      n..m – элемент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элемент опционален, повторения не допускаются;</w:t>
      </w:r>
    </w:p>
    <w:p>
      <w:pPr>
        <w:spacing w:after="0"/>
        <w:ind w:left="0"/>
        <w:jc w:val="both"/>
      </w:pPr>
      <w:r>
        <w:rPr>
          <w:rFonts w:ascii="Times New Roman"/>
          <w:b w:val="false"/>
          <w:i w:val="false"/>
          <w:color w:val="000000"/>
          <w:sz w:val="28"/>
        </w:rPr>
        <w:t>
      0..* – элемент опционален, может повторяться без ограничений;</w:t>
      </w:r>
    </w:p>
    <w:p>
      <w:pPr>
        <w:spacing w:after="0"/>
        <w:ind w:left="0"/>
        <w:jc w:val="both"/>
      </w:pPr>
      <w:r>
        <w:rPr>
          <w:rFonts w:ascii="Times New Roman"/>
          <w:b w:val="false"/>
          <w:i w:val="false"/>
          <w:color w:val="000000"/>
          <w:sz w:val="28"/>
        </w:rPr>
        <w:t>
      0..m – элемент опционален, может повторяться не более m раз (m &gt; 1).</w:t>
      </w:r>
    </w:p>
    <w:bookmarkStart w:name="z169" w:id="67"/>
    <w:p>
      <w:pPr>
        <w:spacing w:after="0"/>
        <w:ind w:left="0"/>
        <w:jc w:val="left"/>
      </w:pPr>
      <w:r>
        <w:rPr>
          <w:rFonts w:ascii="Times New Roman"/>
          <w:b/>
          <w:i w:val="false"/>
          <w:color w:val="000000"/>
        </w:rPr>
        <w:t xml:space="preserve"> Таблица 1. Состав и структура сведений, передаваемых компетентными</w:t>
      </w:r>
      <w:r>
        <w:br/>
      </w:r>
      <w:r>
        <w:rPr>
          <w:rFonts w:ascii="Times New Roman"/>
          <w:b/>
          <w:i w:val="false"/>
          <w:color w:val="000000"/>
        </w:rPr>
        <w:t>(уполномоченными) органами в Комиссию в целях ведения общего</w:t>
      </w:r>
      <w:r>
        <w:br/>
      </w:r>
      <w:r>
        <w:rPr>
          <w:rFonts w:ascii="Times New Roman"/>
          <w:b/>
          <w:i w:val="false"/>
          <w:color w:val="000000"/>
        </w:rPr>
        <w:t>реестра эмитентов контрольных (идентификационных) знаков</w:t>
      </w:r>
    </w:p>
    <w:bookmarkEnd w:id="67"/>
    <w:p>
      <w:pPr>
        <w:spacing w:after="0"/>
        <w:ind w:left="0"/>
        <w:jc w:val="both"/>
      </w:pPr>
      <w:r>
        <w:rPr>
          <w:rFonts w:ascii="Times New Roman"/>
          <w:b w:val="false"/>
          <w:i w:val="false"/>
          <w:color w:val="ff0000"/>
          <w:sz w:val="28"/>
        </w:rPr>
        <w:t xml:space="preserve">
      Сноска. Заголовок таблицы 1 с изменением, внесенным решением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4183"/>
        <w:gridCol w:w="4662"/>
        <w:gridCol w:w="432"/>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 время формирования сведений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органе (организации), включенном(ой) в реестр эмитентов контрольных знаков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содержащихся в реестре эмитентов контрольных знаков</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Страна, представляющая сведения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страны, представляющий сведения</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Регистрационный номер (номер документа о регистрации) органа (организации) государства-члена в реестре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(номер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регистрационного номера (номера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Орган (организация) государства-члена, включенный (ая) в реестр эмитентов контрольных знаков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органа (организации), включенного(ой) в реестр эмитентов контрольных знаков</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наименовании, номере налогоплательщика, адресе и контактных реквизитах органа (организации), включенного(ой) в реестр эмитентов контрольных знаков</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Технологические характеристики сведений реестра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сроке действия сведений, об органе (организации) государства-члена, включенном(ой) в реестр эмитентов контрольных знаков</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датах начала и окончания срока действия записи в реестре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0" w:id="68"/>
    <w:p>
      <w:pPr>
        <w:spacing w:after="0"/>
        <w:ind w:left="0"/>
        <w:jc w:val="left"/>
      </w:pPr>
      <w:r>
        <w:rPr>
          <w:rFonts w:ascii="Times New Roman"/>
          <w:b/>
          <w:i w:val="false"/>
          <w:color w:val="000000"/>
        </w:rPr>
        <w:t xml:space="preserve"> Таблица 2. Состав и структура сведений, получаемых Комиссией по запросу</w:t>
      </w:r>
      <w:r>
        <w:br/>
      </w:r>
      <w:r>
        <w:rPr>
          <w:rFonts w:ascii="Times New Roman"/>
          <w:b/>
          <w:i w:val="false"/>
          <w:color w:val="000000"/>
        </w:rPr>
        <w:t>от компетентных (уполномоченных) органов в целях формирования аналитической отчетности</w:t>
      </w:r>
    </w:p>
    <w:bookmarkEnd w:id="68"/>
    <w:p>
      <w:pPr>
        <w:spacing w:after="0"/>
        <w:ind w:left="0"/>
        <w:jc w:val="both"/>
      </w:pPr>
      <w:r>
        <w:rPr>
          <w:rFonts w:ascii="Times New Roman"/>
          <w:b w:val="false"/>
          <w:i w:val="false"/>
          <w:color w:val="ff0000"/>
          <w:sz w:val="28"/>
        </w:rPr>
        <w:t xml:space="preserve">
      Сноска. Таблица 2 с изменениями, внесенными решением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3"/>
        <w:gridCol w:w="3737"/>
        <w:gridCol w:w="3828"/>
        <w:gridCol w:w="592"/>
      </w:tblGrid>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 время формирования сведений</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Страна, представляющая сведения</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страны, представляющий сведения</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Сведения по товарам, выпущенным в оборот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содержащихся в национальном компоненте информационной системы маркировки товаров и представляемых в целях формирования аналитической отчетности</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Код товара по ТН ВЭД ЕАЭС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10-значный код товара по единой Товарной номенклатуре внешнеэкономической деятельности Евразийского экономического союза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Идентификатор Global Trade Item Number</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идентификационный номер торговой единицы – цифровое значение</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уникальной идентификации торговой единицы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Регистрационный номер декларации на товары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регистрационном номере декларации на товары, при ввозе товаров на таможенную территорию Союза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GLN производителя товара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производителя товара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Совокупность  сведений о контрольном (идентификационном) знаке и товаре</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о контрольном (идентификационном) знаке и товаре</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Реквизиты контрольного (идентификационного) знака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контрольного (идентификационного) знака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Идентификатор контрольного (идентификационного) знака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 отображаемый идентификатор контрольного (идентификационного) знака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[A-Z]{2}[-]{1}[A-Z0-9]{6}</w:t>
            </w:r>
          </w:p>
          <w:p>
            <w:pPr>
              <w:spacing w:after="20"/>
              <w:ind w:left="20"/>
              <w:jc w:val="both"/>
            </w:pPr>
            <w:r>
              <w:rPr>
                <w:rFonts w:ascii="Times New Roman"/>
                <w:b w:val="false"/>
                <w:i w:val="false"/>
                <w:color w:val="000000"/>
                <w:sz w:val="20"/>
              </w:rPr>
              <w:t>
[-]{1}[A-Z0-9]{10}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Дата реализации контрольного (идентификационного) знака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контрольного (идентификационного) знака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Совокупность сведений об обороте товара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об обороте товара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 Номер  налогоплательщика (входит в состав элемента Сведения о юридическом лице или индивидуальном предпринимателе)</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 – организации -заказчика контрольного (идентификационного) знака или участника, осуществивишего вывод из оборота товаров, включенных в перечень товаров, подлежащих маркировке контрольными (идентификационными) знаками (в составе сведений о юридическом лице или индивидуальном предпринимателе)</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 – организации-участника, осуществившей вывод из оборота маркированного товара, указывается в случае, если в законодательстве государств-членов установлены требования к информированию о контрольных (идентификационных) знаках, нанесенных на реализованные товары в рамках розничной торговли)</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3.5.1.3.2. Способ выпуска товара в оборот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выпуска товара в оборот</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xml:space="preserve">
1 – ввоз на таможенную территорию Союза; </w:t>
            </w:r>
          </w:p>
          <w:p>
            <w:pPr>
              <w:spacing w:after="20"/>
              <w:ind w:left="20"/>
              <w:jc w:val="both"/>
            </w:pPr>
            <w:r>
              <w:rPr>
                <w:rFonts w:ascii="Times New Roman"/>
                <w:b w:val="false"/>
                <w:i w:val="false"/>
                <w:color w:val="000000"/>
                <w:sz w:val="20"/>
              </w:rPr>
              <w:t xml:space="preserve">
2 – производство на территории государств-членов.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3.5.1.3.3. Способ маркировки</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маркировки при ввозе товаров на таможенную территорию Евразийского экономического союза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xml:space="preserve">
1 – до выпуска товаров; </w:t>
            </w:r>
          </w:p>
          <w:p>
            <w:pPr>
              <w:spacing w:after="20"/>
              <w:ind w:left="20"/>
              <w:jc w:val="both"/>
            </w:pPr>
            <w:r>
              <w:rPr>
                <w:rFonts w:ascii="Times New Roman"/>
                <w:b w:val="false"/>
                <w:i w:val="false"/>
                <w:color w:val="000000"/>
                <w:sz w:val="20"/>
              </w:rPr>
              <w:t>
2 – после выпуска товаров</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3.5.1.3.4. Код типа представляемой  информации</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представляемой информации</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1 – товары, ввезенные на таможенную территорию Союза;</w:t>
            </w:r>
          </w:p>
          <w:p>
            <w:pPr>
              <w:spacing w:after="20"/>
              <w:ind w:left="20"/>
              <w:jc w:val="both"/>
            </w:pPr>
            <w:r>
              <w:rPr>
                <w:rFonts w:ascii="Times New Roman"/>
                <w:b w:val="false"/>
                <w:i w:val="false"/>
                <w:color w:val="000000"/>
                <w:sz w:val="20"/>
              </w:rPr>
              <w:t>
2 – товары, произведенные на территории государств-членов;</w:t>
            </w:r>
          </w:p>
          <w:p>
            <w:pPr>
              <w:spacing w:after="20"/>
              <w:ind w:left="20"/>
              <w:jc w:val="both"/>
            </w:pPr>
            <w:r>
              <w:rPr>
                <w:rFonts w:ascii="Times New Roman"/>
                <w:b w:val="false"/>
                <w:i w:val="false"/>
                <w:color w:val="000000"/>
                <w:sz w:val="20"/>
              </w:rPr>
              <w:t xml:space="preserve">
3 – товары, приобретенные в рамках трансграничной  торговли; </w:t>
            </w:r>
          </w:p>
          <w:p>
            <w:pPr>
              <w:spacing w:after="20"/>
              <w:ind w:left="20"/>
              <w:jc w:val="both"/>
            </w:pPr>
            <w:r>
              <w:rPr>
                <w:rFonts w:ascii="Times New Roman"/>
                <w:b w:val="false"/>
                <w:i w:val="false"/>
                <w:color w:val="000000"/>
                <w:sz w:val="20"/>
              </w:rPr>
              <w:t>
4 – остатки товаров, на которые нанесены контрольные (идентификационные) знаки;</w:t>
            </w:r>
          </w:p>
          <w:p>
            <w:pPr>
              <w:spacing w:after="20"/>
              <w:ind w:left="20"/>
              <w:jc w:val="both"/>
            </w:pPr>
            <w:r>
              <w:rPr>
                <w:rFonts w:ascii="Times New Roman"/>
                <w:b w:val="false"/>
                <w:i w:val="false"/>
                <w:color w:val="000000"/>
                <w:sz w:val="20"/>
              </w:rPr>
              <w:t>
5 - комиссионная торговля товарами</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 Способ вывода товара из оборота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вывода товара из оборота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значения: </w:t>
            </w:r>
          </w:p>
          <w:p>
            <w:pPr>
              <w:spacing w:after="20"/>
              <w:ind w:left="20"/>
              <w:jc w:val="both"/>
            </w:pPr>
            <w:r>
              <w:rPr>
                <w:rFonts w:ascii="Times New Roman"/>
                <w:b w:val="false"/>
                <w:i w:val="false"/>
                <w:color w:val="000000"/>
                <w:sz w:val="20"/>
              </w:rPr>
              <w:t>
1 – реализация (продажа) в рамках розничной торговли;</w:t>
            </w:r>
          </w:p>
          <w:p>
            <w:pPr>
              <w:spacing w:after="20"/>
              <w:ind w:left="20"/>
              <w:jc w:val="both"/>
            </w:pPr>
            <w:r>
              <w:rPr>
                <w:rFonts w:ascii="Times New Roman"/>
                <w:b w:val="false"/>
                <w:i w:val="false"/>
                <w:color w:val="000000"/>
                <w:sz w:val="20"/>
              </w:rPr>
              <w:t>
2 – уничтожение (утеря) товара.</w:t>
            </w:r>
          </w:p>
          <w:p>
            <w:pPr>
              <w:spacing w:after="20"/>
              <w:ind w:left="20"/>
              <w:jc w:val="both"/>
            </w:pPr>
            <w:r>
              <w:rPr>
                <w:rFonts w:ascii="Times New Roman"/>
                <w:b w:val="false"/>
                <w:i w:val="false"/>
                <w:color w:val="000000"/>
                <w:sz w:val="20"/>
              </w:rPr>
              <w:t>
3 – продажа в рамках трансграничной торговли</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3.5.1.3.6. Дата вывода товара из оборота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вывода товара из оборота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3.5.1.3.7. Дата и время фиксации сведений в национальном компоненте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фиксации сведений в национальном компоненте информационной системы маркировки товаров</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1" w:id="69"/>
    <w:p>
      <w:pPr>
        <w:spacing w:after="0"/>
        <w:ind w:left="0"/>
        <w:jc w:val="left"/>
      </w:pPr>
      <w:r>
        <w:rPr>
          <w:rFonts w:ascii="Times New Roman"/>
          <w:b/>
          <w:i w:val="false"/>
          <w:color w:val="000000"/>
        </w:rPr>
        <w:t xml:space="preserve"> Таблица 3. Состав и структура сведений, передаваемых компетентным (уполномоченным) органом государства-члена, с территории которого товар экспортирован на территорию другого государства-члена, по запросу компетентного (уполномоченного) органа этого другого государства-члена</w:t>
      </w:r>
    </w:p>
    <w:bookmarkEnd w:id="69"/>
    <w:p>
      <w:pPr>
        <w:spacing w:after="0"/>
        <w:ind w:left="0"/>
        <w:jc w:val="both"/>
      </w:pPr>
      <w:r>
        <w:rPr>
          <w:rFonts w:ascii="Times New Roman"/>
          <w:b w:val="false"/>
          <w:i w:val="false"/>
          <w:color w:val="ff0000"/>
          <w:sz w:val="28"/>
        </w:rPr>
        <w:t xml:space="preserve">
      Сноска. Таблица 3 с изменениями, внесенными решением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3404"/>
        <w:gridCol w:w="5303"/>
        <w:gridCol w:w="508"/>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 время формирования сведений</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Страна, представляющая сведения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страны, представляющий сведения</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товарах,  приобретенных  в рамках трансграничной торговли</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  приобретенных  в рамках трансграничной торговли</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о контрольном идентификационном знаке</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идентификаторах контрольного (идентификационного) знака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Идентификатор контрольного (идентификационного знака)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 отображаемый идентификатор контрольного (идентификационного) знака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Идентификатор чипа радиочастотной метки контрольного (идентификационного) знака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чипа радиочастотной метки контрольного (идентификационного) знака (номер TID радиочастотной метки) в шестнадцатеричной системе исчисления</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3.1.3.?Серийный глобальный номер торговой единицы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глобальный номер торговой единицы (товара, продукции) в стандарте SGTIN-96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для передачи и предназначен для указания серийного глобального номера торговой единицы;</w:t>
            </w:r>
          </w:p>
          <w:p>
            <w:pPr>
              <w:spacing w:after="20"/>
              <w:ind w:left="20"/>
              <w:jc w:val="both"/>
            </w:pPr>
            <w:r>
              <w:rPr>
                <w:rFonts w:ascii="Times New Roman"/>
                <w:b w:val="false"/>
                <w:i w:val="false"/>
                <w:color w:val="000000"/>
                <w:sz w:val="20"/>
              </w:rPr>
              <w:t>
элемент может не указываться при передаче сведений об остатках товара;</w:t>
            </w:r>
          </w:p>
          <w:p>
            <w:pPr>
              <w:spacing w:after="20"/>
              <w:ind w:left="20"/>
              <w:jc w:val="both"/>
            </w:pPr>
            <w:r>
              <w:rPr>
                <w:rFonts w:ascii="Times New Roman"/>
                <w:b w:val="false"/>
                <w:i w:val="false"/>
                <w:color w:val="000000"/>
                <w:sz w:val="20"/>
              </w:rPr>
              <w:t>
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Результат обработки запрошенных сведений в национальном компоненте знаку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 описание результата обработки в национальном компоненте сведений об идентификаторе контрольного (идентификационного знака), указанного в запросе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Представляемые сведения о товарах,  приобретенных  в рамках трансграничной торговли</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представляемые сведения о товарах,  приобретенных  в рамках трансграничной торговли, содержащиеся в национальном компоненте</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Номер налогоплательщика (входит в состав элемента Сведения о юридическом лице или индивидуальном предпринимателе)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 – организации -заказчика контрольного (идентификационного) знака (в составе сведений о юридическом лице или индивидуальном предпринимателе, осуществляющем оборот товаров (вывод товаров из оборота),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Код типа представляемой  информации</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представляемой информации</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1 – товары, ввезенные на таможенную территорию Союза;</w:t>
            </w:r>
          </w:p>
          <w:p>
            <w:pPr>
              <w:spacing w:after="20"/>
              <w:ind w:left="20"/>
              <w:jc w:val="both"/>
            </w:pPr>
            <w:r>
              <w:rPr>
                <w:rFonts w:ascii="Times New Roman"/>
                <w:b w:val="false"/>
                <w:i w:val="false"/>
                <w:color w:val="000000"/>
                <w:sz w:val="20"/>
              </w:rPr>
              <w:t>
2 – товары, произведенные на территории государств-членов;</w:t>
            </w:r>
          </w:p>
          <w:p>
            <w:pPr>
              <w:spacing w:after="20"/>
              <w:ind w:left="20"/>
              <w:jc w:val="both"/>
            </w:pPr>
            <w:r>
              <w:rPr>
                <w:rFonts w:ascii="Times New Roman"/>
                <w:b w:val="false"/>
                <w:i w:val="false"/>
                <w:color w:val="000000"/>
                <w:sz w:val="20"/>
              </w:rPr>
              <w:t xml:space="preserve">
3 – товары, приобретенные в рамках трансграничной  торговли; </w:t>
            </w:r>
          </w:p>
          <w:p>
            <w:pPr>
              <w:spacing w:after="20"/>
              <w:ind w:left="20"/>
              <w:jc w:val="both"/>
            </w:pPr>
            <w:r>
              <w:rPr>
                <w:rFonts w:ascii="Times New Roman"/>
                <w:b w:val="false"/>
                <w:i w:val="false"/>
                <w:color w:val="000000"/>
                <w:sz w:val="20"/>
              </w:rPr>
              <w:t>
4 – остатки товаров, на которые нанесены контрольные (идентификационные) знаки;</w:t>
            </w:r>
          </w:p>
          <w:p>
            <w:pPr>
              <w:spacing w:after="20"/>
              <w:ind w:left="20"/>
              <w:jc w:val="both"/>
            </w:pPr>
            <w:r>
              <w:rPr>
                <w:rFonts w:ascii="Times New Roman"/>
                <w:b w:val="false"/>
                <w:i w:val="false"/>
                <w:color w:val="000000"/>
                <w:sz w:val="20"/>
              </w:rPr>
              <w:t xml:space="preserve">
5 - комиссионная торговля товарами; </w:t>
            </w:r>
          </w:p>
          <w:p>
            <w:pPr>
              <w:spacing w:after="20"/>
              <w:ind w:left="20"/>
              <w:jc w:val="both"/>
            </w:pPr>
            <w:r>
              <w:rPr>
                <w:rFonts w:ascii="Times New Roman"/>
                <w:b w:val="false"/>
                <w:i w:val="false"/>
                <w:color w:val="000000"/>
                <w:sz w:val="20"/>
              </w:rPr>
              <w:t>
6.1 – товары, возвращенные покупателями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p>
          <w:p>
            <w:pPr>
              <w:spacing w:after="20"/>
              <w:ind w:left="20"/>
              <w:jc w:val="both"/>
            </w:pPr>
            <w:r>
              <w:rPr>
                <w:rFonts w:ascii="Times New Roman"/>
                <w:b w:val="false"/>
                <w:i w:val="false"/>
                <w:color w:val="000000"/>
                <w:sz w:val="20"/>
              </w:rPr>
              <w:t>
6.2 – товары, возвращенные покупателями (контрольный (идентификационный)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w:t>
            </w:r>
          </w:p>
          <w:p>
            <w:pPr>
              <w:spacing w:after="20"/>
              <w:ind w:left="20"/>
              <w:jc w:val="both"/>
            </w:pPr>
            <w:r>
              <w:rPr>
                <w:rFonts w:ascii="Times New Roman"/>
                <w:b w:val="false"/>
                <w:i w:val="false"/>
                <w:color w:val="000000"/>
                <w:sz w:val="20"/>
              </w:rPr>
              <w:t>
7 – товары, реализованные (проданные) в рамках розничной торговли или уничтоженные (утерянные) по каким-либо причинам оборота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Регистрационный номер декларации на товары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декларации на товары, ввезенные на таможенную территорию Союза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Порядковый номер товара в декларации на товары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порядковом номере товара в декларации на товары (для товаров, ввезенных на таможенную территорию Союза)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Код товара по ТН ВЭД ЕАЭС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10-значный код товара по единой Товарной номенклатуре внешнеэкономической деятельности Евразийского экономического союза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Идентификатор Global Trade Item Number</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идентификационный номер торговой единицы –цифровое значение</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уникальной идентификации торговой единицы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Наименование производителя товара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товара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GLN производителя товара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производителя товара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Наименование товара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товара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Разновидность товара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 из которого изготовлен товар, и иные отличительные признаки товара (цвет, размер, модель и др.)</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Страна происхождения товара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стране происхождения товара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стране происхождения товара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Единица измерения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 товара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коде (кодовом обозначении) единицы измерения товара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Изображение товара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элемент содержит фотографическое изображение товара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3.3.14. Способ выпуска товара в оборот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выпуска товара в оборот</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1 – ввоз на таможенную территорию Союза;</w:t>
            </w:r>
          </w:p>
          <w:p>
            <w:pPr>
              <w:spacing w:after="20"/>
              <w:ind w:left="20"/>
              <w:jc w:val="both"/>
            </w:pPr>
            <w:r>
              <w:rPr>
                <w:rFonts w:ascii="Times New Roman"/>
                <w:b w:val="false"/>
                <w:i w:val="false"/>
                <w:color w:val="000000"/>
                <w:sz w:val="20"/>
              </w:rPr>
              <w:t>
2 – производство на территории государств-членов.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Сведения о нормативных документах, устанавливающих требования к качеству товара (для товара, выпускаемого по таким документам)</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нормативных документах государств-членов, устанавливающие требования к качеству товара (для товара, выпускаемого по таким нормативным документами)</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нормативных документах, устанавливающие требования к качеству товара (для товара, выпускаемого по таким нормативным документам)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Сведения о документах, подтвержающих возврат товара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документов, подтверждающих возврат</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реквизитах документов, подтверждающих возврат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