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270" w14:textId="47ef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применения решений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2015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в связи со вступлением в силу с 1 сентября 2015 г. изменений, внесенных в единую Товарную номенклатуру внешнеэкономической деятельности Евразийской экономического союза Решением Коллегии Евразийской экономической комиссии от 2 июня 2015 г. № 85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ВТО» и Решением Совета Евразийской экономической комиссии от 15 июля 2015 г. № 44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предложения по приведению актов Евразийской экономической комиссии в соответствие с единой Товарной номенклатурой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внесение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16. До внесения изменений в указанный Перечень при подготовке проектов решений об изменении ставок ввозных таможенных пошлин в отношении товаров, предусмотренных приложением № 3 к Решению Совета Евразийской экономической комиссии от 15 июля 2015 г. № 44, учитывать, что такие решения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