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ad65a" w14:textId="afad6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перечне мероприятий по реализации основных ориентиров макроэкономической политики государств - членов Евразийского экономического союза на 2015 - 2016 годы</w:t>
      </w:r>
    </w:p>
    <w:p>
      <w:pPr>
        <w:spacing w:after="0"/>
        <w:ind w:left="0"/>
        <w:jc w:val="both"/>
      </w:pPr>
      <w:r>
        <w:rPr>
          <w:rFonts w:ascii="Times New Roman"/>
          <w:b w:val="false"/>
          <w:i w:val="false"/>
          <w:color w:val="000000"/>
          <w:sz w:val="28"/>
        </w:rPr>
        <w:t>Распоряжение Совета Евразийской экономической комиссии от 14 октября 2016 года № 31</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63</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и в целях исполнения </w:t>
      </w:r>
      <w:r>
        <w:rPr>
          <w:rFonts w:ascii="Times New Roman"/>
          <w:b w:val="false"/>
          <w:i w:val="false"/>
          <w:color w:val="000000"/>
          <w:sz w:val="28"/>
        </w:rPr>
        <w:t>Решения</w:t>
      </w:r>
      <w:r>
        <w:rPr>
          <w:rFonts w:ascii="Times New Roman"/>
          <w:b w:val="false"/>
          <w:i w:val="false"/>
          <w:color w:val="000000"/>
          <w:sz w:val="28"/>
        </w:rPr>
        <w:t xml:space="preserve"> Высшего Евразийского экономического совета от 8 мая 2015 г. № 11 «Об основных ориентирах макроэкономической политики государств – членов Евразийского экономического союза на 2015 – 2016 годы»:</w:t>
      </w:r>
      <w:r>
        <w:br/>
      </w:r>
      <w:r>
        <w:rPr>
          <w:rFonts w:ascii="Times New Roman"/>
          <w:b w:val="false"/>
          <w:i w:val="false"/>
          <w:color w:val="000000"/>
          <w:sz w:val="28"/>
        </w:rPr>
        <w:t>
</w:t>
      </w:r>
      <w:r>
        <w:rPr>
          <w:rFonts w:ascii="Times New Roman"/>
          <w:b w:val="false"/>
          <w:i w:val="false"/>
          <w:color w:val="000000"/>
          <w:sz w:val="28"/>
        </w:rPr>
        <w:t>
      1. Утвердить прилагаемый перечень мероприятий по реализации основных ориентиров макроэкономической политики государств – членов Евразийского экономического союза на 2015 – 2016 годы (далее – перечень).</w:t>
      </w:r>
      <w:r>
        <w:br/>
      </w:r>
      <w:r>
        <w:rPr>
          <w:rFonts w:ascii="Times New Roman"/>
          <w:b w:val="false"/>
          <w:i w:val="false"/>
          <w:color w:val="000000"/>
          <w:sz w:val="28"/>
        </w:rPr>
        <w:t>
</w:t>
      </w:r>
      <w:r>
        <w:rPr>
          <w:rFonts w:ascii="Times New Roman"/>
          <w:b w:val="false"/>
          <w:i w:val="false"/>
          <w:color w:val="000000"/>
          <w:sz w:val="28"/>
        </w:rPr>
        <w:t>
      2. Рекомендовать государствам – членам Евразийского экономического союза при проведении макроэкономической политики учитывать мероприятия, указанные в перечне, и информировать Евразийскую экономическую комиссию о ходе их реализации.</w:t>
      </w:r>
      <w:r>
        <w:br/>
      </w:r>
      <w:r>
        <w:rPr>
          <w:rFonts w:ascii="Times New Roman"/>
          <w:b w:val="false"/>
          <w:i w:val="false"/>
          <w:color w:val="000000"/>
          <w:sz w:val="28"/>
        </w:rPr>
        <w:t>
</w:t>
      </w:r>
      <w:r>
        <w:rPr>
          <w:rFonts w:ascii="Times New Roman"/>
          <w:b w:val="false"/>
          <w:i w:val="false"/>
          <w:color w:val="000000"/>
          <w:sz w:val="28"/>
        </w:rPr>
        <w:t>
      3. Членам Коллегии Евразийской экономической комиссии в соответствии с распределением обязанностей координировать выполнение Комиссией мероприятий, предусмотренных перечнем, и обеспечить проведение анализа мер, направленных на реализацию основных ориентиров макроэкономической политики государств – членов Евразийского экономического союза на 2015 – 2016 годы.</w:t>
      </w:r>
      <w:r>
        <w:br/>
      </w:r>
      <w:r>
        <w:rPr>
          <w:rFonts w:ascii="Times New Roman"/>
          <w:b w:val="false"/>
          <w:i w:val="false"/>
          <w:color w:val="000000"/>
          <w:sz w:val="28"/>
        </w:rPr>
        <w:t>
</w:t>
      </w:r>
      <w:r>
        <w:rPr>
          <w:rFonts w:ascii="Times New Roman"/>
          <w:b w:val="false"/>
          <w:i w:val="false"/>
          <w:color w:val="000000"/>
          <w:sz w:val="28"/>
        </w:rPr>
        <w:t>
      4. Настоящее распоряжение вступает в силу по истечении 10 календарных дней с даты его официального опубликования.</w:t>
      </w:r>
    </w:p>
    <w:bookmarkEnd w:id="0"/>
    <w:p>
      <w:pPr>
        <w:spacing w:after="0"/>
        <w:ind w:left="0"/>
        <w:jc w:val="both"/>
      </w:pPr>
      <w:r>
        <w:rPr>
          <w:rFonts w:ascii="Times New Roman"/>
          <w:b/>
          <w:i w:val="false"/>
          <w:color w:val="000000"/>
          <w:sz w:val="28"/>
        </w:rPr>
        <w:t>         Члены Совета Евразийской экономической комиссии:</w:t>
      </w:r>
    </w:p>
    <w:tbl>
      <w:tblPr>
        <w:tblW w:w="0" w:type="auto"/>
        <w:tblCellSpacing w:w="0" w:type="auto"/>
        <w:tblBorders>
          <w:top w:val="none"/>
          <w:left w:val="none"/>
          <w:bottom w:val="none"/>
          <w:right w:val="none"/>
          <w:insideH w:val="none"/>
          <w:insideV w:val="none"/>
        </w:tblBorders>
      </w:tblPr>
      <w:tblGrid>
        <w:gridCol w:w="2882"/>
        <w:gridCol w:w="2947"/>
        <w:gridCol w:w="2687"/>
        <w:gridCol w:w="2796"/>
        <w:gridCol w:w="2688"/>
      </w:tblGrid>
      <w:tr>
        <w:trPr>
          <w:trHeight w:val="675" w:hRule="atLeast"/>
        </w:trPr>
        <w:tc>
          <w:tcPr>
            <w:tcW w:w="288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Армения</w:t>
            </w:r>
          </w:p>
        </w:tc>
        <w:tc>
          <w:tcPr>
            <w:tcW w:w="294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Беларусь</w:t>
            </w:r>
          </w:p>
        </w:tc>
        <w:tc>
          <w:tcPr>
            <w:tcW w:w="268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279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Кыргызской</w:t>
            </w:r>
            <w:r>
              <w:br/>
            </w:r>
            <w:r>
              <w:rPr>
                <w:rFonts w:ascii="Times New Roman"/>
                <w:b w:val="false"/>
                <w:i w:val="false"/>
                <w:color w:val="000000"/>
                <w:sz w:val="20"/>
              </w:rPr>
              <w:t>
</w:t>
            </w:r>
            <w:r>
              <w:rPr>
                <w:rFonts w:ascii="Times New Roman"/>
                <w:b w:val="false"/>
                <w:i/>
                <w:color w:val="000000"/>
                <w:sz w:val="20"/>
              </w:rPr>
              <w:t>Республики</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Российской</w:t>
            </w:r>
            <w:r>
              <w:br/>
            </w:r>
            <w:r>
              <w:rPr>
                <w:rFonts w:ascii="Times New Roman"/>
                <w:b w:val="false"/>
                <w:i w:val="false"/>
                <w:color w:val="000000"/>
                <w:sz w:val="20"/>
              </w:rPr>
              <w:t>
</w:t>
            </w:r>
            <w:r>
              <w:rPr>
                <w:rFonts w:ascii="Times New Roman"/>
                <w:b w:val="false"/>
                <w:i/>
                <w:color w:val="000000"/>
                <w:sz w:val="20"/>
              </w:rPr>
              <w:t>Федерации</w:t>
            </w:r>
          </w:p>
        </w:tc>
      </w:tr>
      <w:tr>
        <w:trPr>
          <w:trHeight w:val="75" w:hRule="atLeast"/>
        </w:trPr>
        <w:tc>
          <w:tcPr>
            <w:tcW w:w="288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Габриелян</w:t>
            </w:r>
          </w:p>
        </w:tc>
        <w:tc>
          <w:tcPr>
            <w:tcW w:w="294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Матюшевский</w:t>
            </w:r>
          </w:p>
        </w:tc>
        <w:tc>
          <w:tcPr>
            <w:tcW w:w="268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Сагинтаев</w:t>
            </w:r>
          </w:p>
        </w:tc>
        <w:tc>
          <w:tcPr>
            <w:tcW w:w="279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Диль</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bookmarkStart w:name="z6"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распоряжением Совета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14 октября 2015 г. № 31    </w:t>
      </w:r>
    </w:p>
    <w:bookmarkEnd w:id="1"/>
    <w:bookmarkStart w:name="z7" w:id="2"/>
    <w:p>
      <w:pPr>
        <w:spacing w:after="0"/>
        <w:ind w:left="0"/>
        <w:jc w:val="both"/>
      </w:pPr>
      <w:r>
        <w:rPr>
          <w:rFonts w:ascii="Times New Roman"/>
          <w:b w:val="false"/>
          <w:i w:val="false"/>
          <w:color w:val="000000"/>
          <w:sz w:val="28"/>
        </w:rPr>
        <w:t>
</w:t>
      </w: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мероприятий по реализации основных ориентиров</w:t>
      </w:r>
      <w:r>
        <w:br/>
      </w:r>
      <w:r>
        <w:rPr>
          <w:rFonts w:ascii="Times New Roman"/>
          <w:b w:val="false"/>
          <w:i w:val="false"/>
          <w:color w:val="000000"/>
          <w:sz w:val="28"/>
        </w:rPr>
        <w:t>
</w:t>
      </w:r>
      <w:r>
        <w:rPr>
          <w:rFonts w:ascii="Times New Roman"/>
          <w:b/>
          <w:i w:val="false"/>
          <w:color w:val="000000"/>
          <w:sz w:val="28"/>
        </w:rPr>
        <w:t>  макроэкономической политики государств – членов Евразийского</w:t>
      </w:r>
      <w:r>
        <w:br/>
      </w:r>
      <w:r>
        <w:rPr>
          <w:rFonts w:ascii="Times New Roman"/>
          <w:b w:val="false"/>
          <w:i w:val="false"/>
          <w:color w:val="000000"/>
          <w:sz w:val="28"/>
        </w:rPr>
        <w:t>
</w:t>
      </w:r>
      <w:r>
        <w:rPr>
          <w:rFonts w:ascii="Times New Roman"/>
          <w:b/>
          <w:i w:val="false"/>
          <w:color w:val="000000"/>
          <w:sz w:val="28"/>
        </w:rPr>
        <w:t>             экономического союза на 2015 – 2016 годы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8"/>
        <w:gridCol w:w="3697"/>
        <w:gridCol w:w="3633"/>
        <w:gridCol w:w="1940"/>
        <w:gridCol w:w="2362"/>
      </w:tblGrid>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направленные на реализацию основных ориентиров</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рекомендуемые для осуществления государствами – членами Евразийского экономического союза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осуществляемые Евразийской экономической комиссией</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департаменты Евразийской экономической комиссии</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экономический эффект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Обеспечение макроэкономической устойчивости</w:t>
            </w:r>
            <w:r>
              <w:br/>
            </w:r>
            <w:r>
              <w:rPr>
                <w:rFonts w:ascii="Times New Roman"/>
                <w:b w:val="false"/>
                <w:i w:val="false"/>
                <w:color w:val="000000"/>
                <w:sz w:val="20"/>
              </w:rPr>
              <w:t>
</w:t>
            </w:r>
            <w:r>
              <w:rPr>
                <w:rFonts w:ascii="Times New Roman"/>
                <w:b w:val="false"/>
                <w:i w:val="false"/>
                <w:color w:val="000000"/>
                <w:sz w:val="20"/>
              </w:rPr>
              <w:t>Направление 1. Достижение ценовой стабильности</w:t>
            </w:r>
          </w:p>
        </w:tc>
      </w:tr>
      <w:tr>
        <w:trPr>
          <w:trHeight w:val="88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Недопущение значительного роста цен на социально значимые товары и услуги</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регулярного мониторинга уровня оптовых и розничных цен на социально значимые товары и услуги, а также контроля за установлением торговых оптовых и розничных надбавок к отпускным ценам</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действий государств – членов Евразийского экономического союза (далее – государства-члены) по недопущению значительного роста цен на социально значимые товары и услуги</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макроэкономической политики</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содействие сдерживанию значительного роста цен на социально значимые товары и услуги содействие сдерживанию уровня инфляции в государствах-членах </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Пресечение нарушений конкурентного (антимонопольного) законодательства и общих правил конкуренции на территориях государств-членов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действий (бездействия) хозяйствующих субъектов государств-членов в целях выявления нарушений антимонопольного законодательства и общих правил конкуренции на территориях государств-членов, в том числе приводящих к необоснованному росту цен, и принятие соответствующих мер антимонопольного реагирования принятие при необходимости программ развития конкуренции</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соблюдения хозяйствующими субъектами государств-членов общих правил конкуренции, если такие нарушения оказывают или могут оказать негативное влияние на конкуренцию на трансграничных рынках, в том числе, приводящие к необоснованному росту цен анализ ограничений на трансграничных товарных рынках, препятствующих вхождению на эти рынки товаров хозяйствующих субъектов других государств-членов</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антимонопольного регулирования, Департамент конкурентной политики и политики в области государственных закупок</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содействие сдерживанию уровня инфляции в государствах-членах </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Экономически обоснованное регулирование тарифов на услуги естественных монополий с учетом соблюдения баланса интересов их потребителей и производителей</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баланса интересов потребителей и субъектов естественных монополий при формировании тарифов (цен) на регулируемые услуги обеспечение соответствия устанавливаемых тарифов (цен) качеству услуг в сферах естественных монополий, на которые распространяется регулирование создание экономических условий, при которых субъектам естественных монополий выгодно сокращать издержки, внедрять новые технологии, повышать эффективность использования инвестиций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сравнительного анализа системы и практики регулирования деятельности субъектов естественных монополий в государствах-членах</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транспорта и инфраструктуры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сдерживанию уровня инфляции в государствах-членах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2. Активизация использования национальных валют государств-членов</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Создание экономических условий, стимулирующих формирование депозитов в национальных валютах</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мер по стимулированию открытия и поддержания физическими и юридическими лицами депозитов в национальных валютах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действий государств-членов по созданию экономических условий, стимулирующих формирование депозитов в национальных валютах</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финансовой политики, Департамент макроэкономической политики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роли национальных валют в экономиках государств-членов</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Введение запрета на установление цен на внутреннем рынке в условных единицах или национальных валютах третьих стран</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и (или) обеспечение соблюдения запрета на установление цен на товары и услуги на внутреннем рынке в условных единицах или национальных валютах третьих стран</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действий государств-членов по введению запрета на установление цен на внутреннем рынке в условных единицах или национальных валютах третьих стран</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финансовой политики, Департамент макроэкономической политики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роли национальных валют в экономиках государств-членов</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Согласование подходов к регулированию валютных правоотношений</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внутригосударственного согласования проекта соглашения о согласованных подходах к регулированию валютных правоотношений и принятии мер либерализации и внутригосударственных процедур, необходимых для его подписания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материалов для рассмотрения Коллегией и Советом Евразийской экономической комиссии (далее – Комиссия) в рамках проведения внутригосударственного согласования и внутригосударственных процедур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финансовой политики</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сближение условий хозяйственной деятельности, определяемых законодательством о валютном регулировании и валютном контроле</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Продолжение работы по созданию условий для расширения использования национальных валют во взаимных расчетах при осуществлении внешнеэкономической деятельности</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международного опыта по созданию условий по стимулированию использования национальных валют во взаимных расчетах при осуществлении внешнеэкономической деятельности в рамках Евразийского экономического союза (далее – Союз)</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действий государств-членов по созданию условий для расширения использования национальных валют во взаимных расчетах при осуществлении внешнеэкономической деятельности</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финансовой политики</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расчетов в национальных валютах при осуществлении внешнеэкономической деятельности в рамках Союза повышение роли национальных валют в экономиках государств-членов</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Совершенствование механизма платежно-расчетных отношений между резидентами государств-членов</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национальными (центральными) банками государств-членов проекта соглашения о создании рабочей группы по координации развития национальных платежных систем</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совершенствования механизма платежно-расчетных отношений между резидентами государств-членов сотрудничество с Межгосударственным банком по вопросам совершенствования механизма платежно-расчетных отношений между резидентами государств-членов</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финансовой политики, Департамент макроэкономической политики</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транзакционных издержек во взаимных расчетах и обеспечение доступа к платежным услугам на всей территории Союза</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Усиление координации действий в сфере валютного контроля, осуществляемого в соответствии с валютным законодательством государств-членов</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взаимодействие уполномоченных органов валютного контроля государств-членов участие в заседаниях рабочей группы при Консультативном комитете по финансовым рынкам по вопросам валютного регулирования и валютного контроля на территориях государств-членов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заседаний рабочей группы при Консультативном комитете по финансовым рынкам по вопросам валютного регулирования и валютного контроля на территориях государств-членов подготовка справочно-аналитического материала по вопросам валютного контроля на территориях государств-членов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финансовой политики</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сближение условий хозяйственной деятельности, определяемых валютным законодательством государств-членов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3. Поддержание сбалансированности бюджетных систем</w:t>
            </w:r>
          </w:p>
        </w:tc>
      </w:tr>
      <w:tr>
        <w:trPr>
          <w:trHeight w:val="46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Увеличение доходной части бюджетов путем совершенствования налоговой системы и повышения эффективности налогового администрирования</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гармонизация (сближение) ставок акцизов по наиболее чувствительным подакцизным товарам дальнейшее совершенствование системы взимания налога на добавленную стоимость во взаимной торговле (в том числе с применением информационных технологий) внедрение электронного документо-оборота при представлении налогоплательщиком в налоговый орган заявления о ввозе товаров и уплате косвенных налогов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действий государств-членов по увеличению доходной части бюджетов организация мероприятий для обмена информацией по внедрению участниками внешнеэкономической деятельности электронного документооборота при представлении налогоплательщиком в налоговый орган заявления о ввозе товаров и уплате косвенных налогов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финансовой политики</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эффективности налогового администрирования в государствах-членах увеличение доходной части государственных бюджетов в целях обеспечения соблюдения государствами-членами установленного значения дефицита (профицита) консолидированного бюджета сектора государственного управления</w:t>
            </w:r>
          </w:p>
        </w:tc>
      </w:tr>
      <w:tr>
        <w:trPr>
          <w:trHeight w:val="46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 и реализация мер, направленных на противодействие незаконным финансовым операциям</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инструментов налогового контроля за незаконными финансовыми операциями подготовка предложений по разработке международных соглашений по порядку обмена: информацией о внешнеторговых контрактах, заключенных с резидентами государств-членов; сведениями о перемещении товаров во взаимной торговле по данным импортеров (экспортеров) государств-членов</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действий государств-членов по разработке и реализации мер, направленных на противодействие незаконным финансовым операциям формирование рабочих групп по разработке проектов международных соглашений, организация совещаний экспертов уполномоченных органов государств-членов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финансовой политики, Департамент таможенного законодательства и правоприменительной практики</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доходов бюджетов государств-членов </w:t>
            </w:r>
          </w:p>
          <w:p>
            <w:pPr>
              <w:spacing w:after="20"/>
              <w:ind w:left="20"/>
              <w:jc w:val="both"/>
            </w:pPr>
            <w:r>
              <w:rPr>
                <w:rFonts w:ascii="Times New Roman"/>
                <w:b w:val="false"/>
                <w:i w:val="false"/>
                <w:color w:val="000000"/>
                <w:sz w:val="20"/>
              </w:rPr>
              <w:t>повышение эффективности налогового администрирования в государствах-членах</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Оптимизация бюджетных расходов за счет концентрации ресурсов на приоритетных направлениях развития</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оптимизация бюджетных расходов за счет исключения неэффективных затрат при безусловном исполнении внешних обязательств и сохранении социальной направленности бюджетной политики</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действий государств-членов по оптимизации бюджетных расходов за счет концентрации ресурсов на приоритетных направлениях развития</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макроэкономической политики, Департамент финансовой политики</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оптимизация расходной части государственных бюджетов в целях обеспечения соблюдения государствами-членами установленного значения дефицита (профицита) консолидированного бюджета сектора государственного управления</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Совершенствование инструментов предоставления межправительственных займов</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и анализ международного опыта использования инструментов предоставления межправительственных займов и рассмотрение возможности их применения в рамках Союза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действий государств-членов по совершенствованию инструментов предоставления межправительственных займов</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финансовой политики, Департамент макроэкономической политики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сбалансированности бюджетной системы государств-членов</w:t>
            </w:r>
          </w:p>
        </w:tc>
      </w:tr>
      <w:tr>
        <w:trPr>
          <w:trHeight w:val="43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Противодействие использованию низконалоговых юрисдикций, находящихся в третьих странах</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механизмов пресечения использования низконалоговых юрисдикций, находящихся в третьих странах, с целью получения необоснованных преференций и необоснованной налоговой выгоды совершенствование норм налогового законодательства государств-членов в целях противодействия использованию низконалоговых юрисдикций</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действий государств-членов по противодействию использованию низконалоговых юрисдикций, находящихся в третьих странах изучение и анализ международного опыта по законодательному регулированию в сфере противодействия использованию низконалоговых юрисдикций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финансовой политики, Департамент макроэкономической политики</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доходной части государственных бюджетов снижение оттока капитала из государств-членов</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4. Повышение устойчивости банковских систем</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Принятие мер по поддержанию ликвидности в национальных валютах, в том числе путем расширения при необходимости применяемых инструментов</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регулирование деятельности банков по созданию резервов, обеспечивающих ликвидность кредитных организаций изучение международного опыта в сфере расширения применяемых инструментов поддержания ликвидности</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действий государств-членов по поддержанию ликвидности в национальных валютах, в том числе путем расширения при необходимости применяемых инструментов</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финансовой политики</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ликвидности финансовой системы государств-членов </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Рассмотрение возможности создания институтов управления проблемными активами</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международного опыта по созданию банков «плохих долгов» и подготовка предложений о целесообразности их организации в государствах-членах</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действий государств-членов по рассмотрению возможности создания институтов управления проблемными активами</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финансовой политики, Департамент макроэкономической политики</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устойчивости банковских систем государств-членов</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Принятие мер по докапитализации системообразующих банков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предложений и принятие мер по докапитализации системообразующих банков, в том числе с использованием средств резервных фондов</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действий государств-членов по докапитализации системообразующих банков</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финансовой политики, Департамент макроэкономической политики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устойчивости банковских систем государств-членов поддержание необходимого уровня кредитования организаций приоритетных отраслей экономики обеспечение финансирования приоритетных инфраструктурных проектов</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Увеличение предельных сумм страхового покрытия депозитов</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нормативных правовых актов об увеличении предельных сумм страхового покрытия депозитов с учетом экономической ситуации в государствах-членах</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действий государств-членов по увеличению предельных сумм страхового покрытия депозитов</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финансовой политики</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объема денежных средств на депозитах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Создание условий для устойчивого развития и восстановления экономического роста</w:t>
            </w:r>
            <w:r>
              <w:br/>
            </w:r>
            <w:r>
              <w:rPr>
                <w:rFonts w:ascii="Times New Roman"/>
                <w:b w:val="false"/>
                <w:i w:val="false"/>
                <w:color w:val="000000"/>
                <w:sz w:val="20"/>
              </w:rPr>
              <w:t>
</w:t>
            </w:r>
            <w:r>
              <w:rPr>
                <w:rFonts w:ascii="Times New Roman"/>
                <w:b w:val="false"/>
                <w:i w:val="false"/>
                <w:color w:val="000000"/>
                <w:sz w:val="20"/>
              </w:rPr>
              <w:t>Направление 1. Диверсификация экономики (в том числе с учетом реализации интеграционного потенциала Союза)</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работы по выбору приоритетных направлений использования интеграционного потенциала Союза в рамках реализации Договора о Евразийском экономическом союзе от 29 мая 2014 г. (далее – Договор)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работе экспертной группы по использованию страновых и межстрановых таблиц «Затраты-Выпуск» для формирования и оценки интеграционного потенциала Евразийского экономического союза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работы экспертной группы по использованию страновых и межстрановых таблиц «Затраты-Выпуск» для формирования и оценки интеграционного потенциала Евразийского экономического союза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макроэкономической политики, Департамент статистики, Департамент промышленной политики, Департамент агропромышленной политики, Департамент транспорта и инфраструктуры, Департамент энергетики, Департамент торговой политики, Департамент таможенно-тарифного и нетарифного регулирования, Департамент защиты внутреннего рынка</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интеграционного потенциала Союза</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 и согласование Основных направлений промышленного сотрудничества в рамках Союза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предложений для дальнейшей разработки и согласования проекта Основных направлений промышленного сотрудничества в рамках Союза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консультативная поддержка и координация деятельности специальной рабочей группы при разработке проекта Основных направлений промышленного сотрудничества в рамках Союза</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промышленной политики</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активизация промышленного сотрудничества и развитие промышленности государств-членов</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Стимулирование инновационной активности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проекта положения о формировании и функционировании евразийских технологических платформ (далее – ЕТП), включающего предложения по механизмам их финансирования проведение при необходимости организационных мероприятий в виде совместных семинаров, конференций, бизнес-диалогов и т.п. по обмену опытом и технологиями</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действий государств-членов по стимулированию инновационной активности консультативная поддержка и координация деятельности государств-членов обеспечение внесения проектов разработанных документов на рассмотрение органов Союза</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промышленной политики</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рост доли инновационной продукции, выпущенной в рамках проектов ЕТП, от общего объема инновационной продукции создание условий для обеспечения эффективного сотрудничества в инновационной сфере развитие инновационной инфраструктуры, рост инвестиций в инновации </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Разработка механизмов проведения совместных научно-исследовательских и опытно-конструкторских работ с целью стимулирования развития высокотехнологичных производств</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предложений и согласование перечня перспективных научно-исследовательских работ в сфере агропромышленного комплекса государств-членов до 2020 года подготовка предложений по формированию порядка проведения совместных научных исследований государств-членов</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перечня перспективных научно-исследовательских работ в сфере агропромышленного комплекса государств-членов до 2020 года и принятие рекомендации Коллегии Комиссии по данному перечню координация деятельности государств-членов по вопросу формирования порядка проведения совместных научных исследований государств-членов</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агропромышленной политики</w:t>
            </w:r>
            <w:r>
              <w:br/>
            </w:r>
            <w:r>
              <w:rPr>
                <w:rFonts w:ascii="Times New Roman"/>
                <w:b w:val="false"/>
                <w:i w:val="false"/>
                <w:color w:val="000000"/>
                <w:sz w:val="20"/>
              </w:rPr>
              <w:t>
</w:t>
            </w:r>
            <w:r>
              <w:rPr>
                <w:rFonts w:ascii="Times New Roman"/>
                <w:b w:val="false"/>
                <w:i w:val="false"/>
                <w:color w:val="000000"/>
                <w:sz w:val="20"/>
              </w:rPr>
              <w:t>Департамент агропромышленной политики, Департамент промышленной политики</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углубление сотрудничества и развитие новых технологий за счет объединения усилий по стимулированию инновационного развития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2. Поддержание деловой активности</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Стремление к недопущению роста налоговой нагрузки на предприятия реального сектора экономики и сферы услуг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при необходимости на национальном уровне мер по стабилизации налоговой нагрузки на предприятия реального сектора экономики и сферы услуг</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действий государств-членов по недопущению значительного роста налоговой нагрузки на предприятия реального сектора экономики и сферы услуг</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финансовой политики, Департамент макроэкономической политики</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условий финансово-хозяйственной деятельности предприятий</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Осуществление мер поддержки малого и среднего бизнеса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обсуждение вопросов сближения законодательства государств-членов в сфере предпринимательской деятельности в части критериев отнесения хозяйствующих субъектов к субъектам малого и среднего предпринимательства принятие при необходимости на национальном уровне мер по недопущению роста или снижению налоговой нагрузки на предприятия малого и среднего бизнеса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рабочих совещаний экспертов Комиссии и государств-членов по вопросу определения направлений сближения законодательства государств-членов в части установления критериев отнесения хозяйствующих субъектов к субъектам малого и среднего предпринимательства с учетом международного опыта мониторинг действий государств-членов по недопущению роста или снижению налоговой нагрузки на предприятия малого и среднего бизнеса</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развития предпринимательской деятельности Департамент финансовой политики</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благоприятных условий для осуществления предприятиями малого и среднего бизнеса предпринимательской деятельности на территориях государств-членов</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Принятие мер, обеспечивающих улучшение позиций государств-членов в международных рейтингах комфортности ведения бизнеса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действий по улучшению условий ведения бизнеса в государствах-членах</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действий государств-членов, обеспечивающих улучшение позиций государств-членов в международных рейтингах комфортности ведения бизнеса</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развития предпринимательской деятельности, Департамент макроэкономической политики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позиций государств-членов в международных рейтингах комфортности ведения бизнеса</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Совершенствование национальных систем мер государственной поддержки хозяйствующих субъектов на основе лучших практик и формирования механизмов взаимодействия национальных институтов развития государств-членов</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и обмен опытом функционирования национальных систем мер государственной поддержки хозяйствующих субъектов в целях повышения эффективности принимаемых мер изучение международной практики в области деятельности национальных институтов развития в целях рассмотрения возможности формирования механизмов взаимодействия национальных институтов развития государств-членов</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лучших международных практик по функционированию и совершенствованию национальных систем мер государственной поддержки хозяйствующих субъектов и формированию механизмов взаимодействия национальных институтов развития выработка предложений по результатам проведенного анализа</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развития предпринимательской деятельности, Департамент финансовой политики, Департамент промышленной политики, Департамент агропромышленной политики, Департамент таможенного законодательства и правоприменительной практики</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благоприятных условий для осуществления предпринимательской деятельности на территориях государств-членов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3. Расширение источников финансовых средств и повышение доступности кредитных ресурсов</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Создание возможностей для привлечения в наиболее значимые сектора экономики оборотных и инвестиционных ресурсов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предложений по созданию условий для доступа хозяйствующих субъектов государств-членов к кредитным ресурсам кредитных организаций других государств-членов участие в консультациях национальных (центральных) банков государств-членов и Комиссии по выработке направлений и форм сотрудничества, определению возможных барьеров и разработке механизмов взаимодействия между государствами-членами по обмену сведениями, входящими в состав кредитных историй проведение переговоров с третьими сторонами о привлечении кредитных ресурсов приемлемой стоимости</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действий государств-членов по созданию возможностей для привлечения в наиболее значимые сектора экономики оборотных и инвестиционных ресурсов организация консультаций национальных (центральных) банков государств-членов и Комиссии по выработке направлений и форм сотрудничества, определению возможных барьеров и разработке проекта соглашения о взаимодействии между государствами-членами по обмену сведениями, входящими в состав кредитных историй</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макроэкономической политики Департамент финансовой политики</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условий финансово-хозяйственной деятельности предприятий</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Дальнейшее развитие механизмов целевого выделения кредитных средств под приоритетные проекты и эффективного доведения их до получателя</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контроля за целевым выделением кредитных средств под приоритетные проекты и эффективным доведением их до получателя</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действий государств-членов по дальнейшему развитию механизмов целевого выделения кредитных средств под приоритетные проекты и эффективного доведения их до получателя</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макроэкономической политики</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эффективности использования кредитных средств, выделенных под приоритетные проекты</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Создание условий для роста частных инвестиций в основной капитал предприятий производственной сферы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на национальном уровне мер, необходимых для создания благоприятного налогового климата, с целью эффективного развития национального рынка капитала и привлечения частных инвестиций принятие при необходимости нормативных правовых актов государств-членов об «амнистии» частного капитала, предусматривающих освобождение хозяйствующих субъектов от ответственности при условии возвращения ими в юрисдикцию государств-членов ранее выведенных в иностранные юрисдикции без уплаты соответствующих налогов доходов, полученных от источников в государствах-членах, а также совершенствование таких актов</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действий государств-членов по созданию условий для роста частных инвестиций в основной капитал предприятий производственной сферы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финансовой политики</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частных инвестиций в основной капитал предприятий производственной сферы</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Совершенствование законодательства государств-членов, регламентирующего сферу применения механизмов государственно-частного партнерства, с учетом лучших международных практик и практик государств-членов</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опыта государств-членов и международных практик применения механизмов государственно-частного партнерства с целью оценки перспектив развития механизмов и инструментов государственно-частного партнерства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консультаций государств-членов по вопросам совершенствования механизмов государственно-частного партнерства для использования при формировании нормативно-правовой базы, регламентирующей порядок применения механизмов государственно-частного партнерства, и практической реализации проектов</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развития предпринимательской деятельности</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благоприятных условий для внедрения оптимальных механизмов осуществления проектов государственно-частного партнерства на территории Союза</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Активизация использования финансовых возможностей региональных институтов развития (Евразийский фонд стабилизации и развития, Евразийский банк развития)</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предложений по возможным направлениям использования финансовых возможностей Евразийского фонда стабилизации и развития и Евразийского банка развития</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консультаций с Евразийским фондом стабилизации и развития и Евразийским банком развития</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макроэкономической политики, Департамент финансовой политики</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финансирования крупных национальных и интеграционных инвестиционных проектов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4. Активизация взаимной торговли</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Использование эффективных финансовых механизмов для развития торговых отношений между государствами-членами, включая страхование и кредитование экспорта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возможности кредитования экспорта во взаимной торговле государств-членов развитие сотрудничества институтов страхования экспортных кредитов и инвестиций, а также развитие механизмов страхования во взаимной торговле</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действий государств-членов по совершенствованию и использованию финансовых механизмов для развития торговых отношений между ними</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макроэкономической политики, Департамент финансовой политики</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объемов взаимной торговли за счет повышения защищенности участников торговых сделок от предпринимательских и политических рисков</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Продолжение работы по выявлению и устранению изъятий и ограничений, в том числе барьеров, взаимного доступа хозяйствующих субъектов на рынок Союза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выявление препятствующих функционированию внутреннего рынка Союза барьеров для взаимного доступа хозяйствующих субъектов государств-членов продолжение работы по осуществлению государствами-членами самостоятельно, а также совместно с Комиссией мероприятий, направленных на устранение барьеров для взаимного доступа хозяйствующих субъектов на рынок Союза, с учетом положений Договора и других актов, входящих в право Союза принятие мер, направленных на недопущение установления новых барьеров в законодательстве государств-членов закрепление в законодательстве государств-членов нормы об обязательном проведении экспертизы принимаемых актов на соответствие праву Союза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работы совместно с органами исполнительной власти и бизнес-сообществом государств-членов по выявлению и устранению изъятий, ограничений и барьеров оценка влияния изъятий, ограничений и барьеров на экономики государств-членов анализ выявления и устранения изъятий, ограничений и барьеров информирование государств-членов об итогах проводимой работы по выявлению и устранению изъятий, ограничений и барьеров информирование бизнес-сообщества государств-членов о результатах устранения барьеров</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развития интеграции, Департамент развития предпринимательской деятельности, Департамент макроэкономической политики, Департамент антимонопольного регулирования, департаменты в соответствии с их компетенцией</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благоприятных условий для роста взаимной торговли государств-членов </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Подготовка прогнозов спроса и предложения государств-членов по основным видам сельскохозяйственной продукции и продовольствия</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своевременное представление в Комиссию прогнозов спроса и предложения государств-членов по основным видам сельскохозяйственной продукции и продовольствия</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координация деятельности при подготовке государствами-членами совместных прогнозов спроса и предложения по основным видам сельскохозяйственной продукции и продовольствия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агропромышленной политики</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состояния и определение приоритетов развития аграрного сектора экономики государств-членов</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Проведение работ по формированию перечня чувствительных сельскохозяйственных товаров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перечня чувствительных сельскохозяйственных товаров представление государствами-членами друг другу и в Комиссию планов (программ) развития производства по каждому из чувствительных сельскохозяйственных товаров участие в консультациях по вопросам, касающимся чувствительных сельскохозяйственных товаров</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государств-членов при формировании перечня чувствительных сельскохозяйственных товаров организация консультаций государств-членов по вопросам, касающимся чувствительных сельскохозяйственных товаров</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агропромышленной политики</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качества планирования программ развития производства по каждому из чувствительных сельскохозяйственных товаров</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Продолжение работы по формированию общих рынков газа, нефти, нефтепродуктов и электроэнергии Союза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согласование и утверждение концепции формирования общего рынка газа Союза разработка, согласование и утверждение концепции формирования общих рынков нефти и нефтепродуктов Союза разработка, согласование и утверждение программы формирования общего электроэнергетического рынка Союза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одобрение концепции формирования общего рынка газа Союза разработка и одобрение концепции формирования общих рынков нефти и нефтепродуктов Союза разработка и одобрение программы формирования общего электроэнергетического рынка Союза</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энергетики</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объемов взаимной торговли и повышение конкурентоспособности сферы энергетики (после начала функционирования общих рынков)</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Разработка индикативных (прогнозных) балансов газа, нефти и нефтепродуктов Союза на основе принятой методологии</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внутригосударственного согласования проекта Соглашения о Методологии формирования индикативных (прогнозных) балансов газа, нефти и нефтепродуктов в рамках Союза, внутригосударственных процедур по указанному проекту Соглашения и подписание его уполномоченными органами государств-членов разработка индикативных (прогнозных) балансов газа, нефти и нефтепродуктов государств-членов на основе принятой Методологии и представление их в Комиссию согласование индикативных (прогнозных) балансов газа, нефти и нефтепродуктов Союза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одобрение проекта Соглашения о Методологии формирования индикативных (прогнозных) балансов газа, нефти и нефтепродуктов в рамках Союза Советом Комиссии и направление документа для прохождения внутригосударственных процедур формирование индикативных (прогнозных) балансов газа, нефти и нефтепродуктов Союза на основе принятой Методологии</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энергетики</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объемов взаимной торговли энергоносителями повышение энергетической безопасности государств-членов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5. Развитие внешней торговли и диверсификация рынков сбыта</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Упрощение административных процедур в сфере таможенного регулирования, направленных на продвижение экспорта товаров Союза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электронного декларирования, института уполномоченного экономического оператора, сокращение требований по количеству документов, необходимых для таможенного декларирования товаров, поэтапный переход на использование электронных документов, развитие межведомственного взаимодействия, снижение издержек для торговли и транспорта путем сокращения простоя транспорта на границах, сокращение времени совершения таможенных операций, упрощение процедуры транзита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совместно с государствами-членами в подготовке Таможенного кодекса Евразийского экономического союза, направленного в том числе на упрощение и ускорение процедур в сфере таможенного регулирования разработка и согласование с государствами-членами актов, входящих в право Союза, направленных на реализацию положений Таможенного кодекса Евразийского экономического союза</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таможенного законодательства и правоприменительной практики, Департамент таможенной инфраструктуры, Департамент информационных технологий, Департамент транспорта и инфраструктуры, Департамент санитарных, фитосанитарных и ветеринарных мер, Департамент торговой политики, Департамент развития предпринимательской деятельности</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Таможенного кодекса Евразийского экономического союза и актов, входящих в право Союза, направленных на ускорение и упрощение процедур в сфере таможенного регулирования</w:t>
            </w:r>
          </w:p>
          <w:p>
            <w:pPr>
              <w:spacing w:after="20"/>
              <w:ind w:left="20"/>
              <w:jc w:val="both"/>
            </w:pPr>
            <w:r>
              <w:rPr>
                <w:rFonts w:ascii="Times New Roman"/>
                <w:b w:val="false"/>
                <w:i w:val="false"/>
                <w:color w:val="000000"/>
                <w:sz w:val="20"/>
              </w:rPr>
              <w:t>сокращение затрат, в том числе временных, необходимых для совершения таможенных операций</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Реализация мер, направленных на сокращение времени предоставления, стоимости и количества государственных процедур, необходимых для осуществления внешнеэкономической деятельности, при повышении эффективности форм государственного контроля</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документов и сведений, необходимых для осуществления внешнеэкономической деятельности, и оценка необходимости внесения изменений в акты, входящие в право Союза, и законодательство государств-членов с целью организации оформления электронных документов разработка предложений по внесению изменений в акты, входящие в право Союза, и законодательство государств-членов с целью организации оформления электронных документов</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документов и сведений, необходимых для осуществления внешнеэкономической деятельности и оценка необходимости внесения изменений в акты, входящие в право Союза, и законодательство государств-членов с целью организации оформления электронных документов разработка проекта акта органа Союза, предусматривающего обязательное утверждение формата и структур электронных документов, необходимых для осуществления внешнеэкономической деятельности</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таможенной инфраструктуры, Департамент информационных технологий, Департамент таможенного законодательства и правоприменительной практики, Департамент развития предпринимательской деятельности, Департамент санитарных, фитосанитарных и ветеринарных мер, Департамент технического регулирования и аккредитации, Департамент торговой политики, Департамент транспорта и инфраструктуры, Департамент финансовой политики</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сокращение издержек участников внешнеэкономической деятельности </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Развитие механизма «единого окна» в системе регулирования внешнеэкономической деятельности</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национальных механизмов «единого окна» в системе регулирования внешнеэкономической деятельности</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методики оценки состояния развития национальных механизмов «единого окна» анализ состояния развития национальных механизмов «единого окна» в соответствии с утвержденной Методикой разработка заключений по каждому государству-члену по оптимизации государственных процедур и бизнес-процессов, связанных с внешнеэкономической деятельностью, а также по развитию национальных механизмов «единого окна» определение приоритетных направлений сближения подходов по развитию национальных механизмов «единого окна»</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таможенного законодательства и правоприменительной практики, Департамент таможенной инфраструктуры, Департамент развития предпринимательской деятельности, Департамент торговой политики, Департамент санитарных, фитосанитарных и ветеринарных мер, Департамент </w:t>
            </w:r>
          </w:p>
          <w:p>
            <w:pPr>
              <w:spacing w:after="20"/>
              <w:ind w:left="20"/>
              <w:jc w:val="both"/>
            </w:pPr>
            <w:r>
              <w:rPr>
                <w:rFonts w:ascii="Times New Roman"/>
                <w:b w:val="false"/>
                <w:i w:val="false"/>
                <w:color w:val="000000"/>
                <w:sz w:val="20"/>
              </w:rPr>
              <w:t>технического регулирования и аккредитации, Департамент транспорта и инфраструктуры, Департамент финансовой политики, Департамент информационных технологий</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временных и стоимостных затрат, связанных с совершением таможенных операций, необходимых при перемещении товаров через таможенную границу Союза</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Развитие торгово-экономических отношений с третьими сторонами, направленных на продвижение интересов Союза на мировом рынке</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реализация программных документов по развитию внешнеэкономических связей Союза участие в переговорах с Китайской Народной Республикой о заключении соглашения о торгово-экономическом сотрудничестве содействие расширению географии и повышению эффективности международной деятельности Союза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согласования и утверждения программных документов по развитию внешнеэкономических связей Союза организация переговоров с Китайской Народной Республикой о заключении соглашения о торгово-экономическом сотрудничестве развитие международных контактов и осуществление международной деятельности для достижения целей Союза</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торговой политики</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государств-членов в мировой торговле интенсификация инвестиционного и торгового сотрудничества с Китайской Народной Республикой выявление и реализация дополнительного внешнеторгового потенциала Союза</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Проведение работы по заключению с третьими сторонами договоров, устанавливающих режим свободной торговли</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 Соглашения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участие в работе по изучению целесообразности заключения соглашений о свободной торговле между государствами-членами и третьими сторонами с учетом оценок возможных преимуществ и издержек в рамках совместных исследовательских групп, в том числе с Государством Израиль, Республикой Индией и Арабской Республикой Египет участие в переговорах о заключении соглашений о свободной торговле с третьими сторонами с целью реализации интеграционного потенциала Союза разработка и внесение предложений о целесообразности заключения соглашений о свободной торговле между государствами-членами и третьими сторонами</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участие в работе по изучению целесообразности заключения соглашений о свободной торговле между государствами-членами и третьими сторонами с учетом оценок возможных преимуществ и издержек в рамках совместных исследовательских групп, в том числе с Государством Израиль, Республикой Индией и Арабской Республикой Египет организация и участие в переговорах о заключении соглашений о свободной торговле с третьими сторонами с целью реализации интеграционного потенциала Союза рассмотрение предложений о целесообразности заключения соглашений о свободной торговле между государствами-членами и третьими сторонами</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торговой политики</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экспорта товаров и услуг государств-членов в страны – партнеры по соглашениям о свободной торговле сокращение расходов на импорт товаров из стран – партнеров по соглашениям о свободной торговле</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Создание условий для организации информационного обмена с третьими сторонами о товарах и транспортных средствах, перемещаемых через таможенную границу Союза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переговорах с Китайской Народной Республикой и подготовка предложений по проекту соглашения об обмене информацией о товарах и транспортных средствах международной перевозки, перемещаемых через таможенные границы Евразийского экономического союза и Китайской Народной Республики подготовка предложений по реализации информационного обмена с третьими сторонами о товарах и транспортных средствах международной перевозки, перемещаемых через таможенную границу Союза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переговоров с Китайской Народной Республикой в соответствии с директивами, утвержденными Советом Евразийской экономической комиссии от 12 ноября 2014 г. № 101 подготовка и рассмотрение предложений по реализации информационного обмена с третьими сторонами о товарах и транспортных средствах международной перевозки, перемещаемых через таможенную границу Союза</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таможенной инфраструктуры, Департамент таможенного законодательства и правоприменительной практики, Департамент торговой политики, Департамент информационных технологий, Департамент транспорта и инфраструктуры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объемов взаимной торговли с Китайской Народной Республикой</w:t>
            </w:r>
          </w:p>
          <w:p>
            <w:pPr>
              <w:spacing w:after="20"/>
              <w:ind w:left="20"/>
              <w:jc w:val="both"/>
            </w:pPr>
            <w:r>
              <w:rPr>
                <w:rFonts w:ascii="Times New Roman"/>
                <w:b w:val="false"/>
                <w:i w:val="false"/>
                <w:color w:val="000000"/>
                <w:sz w:val="20"/>
              </w:rPr>
              <w:t>рост экспорта транспортных услуг, оказываемых хозяйствующим субъектам Китайской Народной Республики</w:t>
            </w:r>
          </w:p>
          <w:p>
            <w:pPr>
              <w:spacing w:after="20"/>
              <w:ind w:left="20"/>
              <w:jc w:val="both"/>
            </w:pPr>
            <w:r>
              <w:rPr>
                <w:rFonts w:ascii="Times New Roman"/>
                <w:b w:val="false"/>
                <w:i w:val="false"/>
                <w:color w:val="000000"/>
                <w:sz w:val="20"/>
              </w:rPr>
              <w:t>снижение объемов неучтенной торговли и повышение эффективности таможенного администрирования, рост таможенных доходов</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Разработка механизмов поддержки, кредитования и страхования экспорта на уровне лучших международных практик</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консультативного органа (совета) банков развития государств-членов учет в рамках существующих программ финансирования поддержки экспорта продукции, произведенной в государствах-членах на кооперационной основе активизация осуществления кредитования между банками развития государств-членов в целях совместной поддержки экспорта продукции, произведенной в государствах-членах на кооперационной основе развитие механизмов поддержки кредитования экспорта продукции, произведенной в государствах-членах на кооперационной основе проведение работы по развитию сострахования и перестрахования экспортных рисков между национальными экспортно-кредитными агентствами совместное развитие выставочно-ярмарочной деятельности страхование и поддержка экспорта путем расширения практики применения инструментов хеджирования и использования деривативов подготовка и переподготовка специалистов по рыночным инструментам управления рисками</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сотрудничества с консультативным органом (советом) банков развития государств-членов и оказание содействия в его работе мониторинг действий государств-членов по разработке и использованию механизмов поддержки, кредитования и страхования экспорта на уровне лучших международных практик</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торговой политики, Департамент развития предпринимательской деятельности Департамент финансовой политики, Департамент развития предпринимательской деятельности</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объемов экспорта государств-членов</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Выявление и устранение технических барьеров и ограничительных мер, затрудняющих доступ на рынки третьих сторон</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предложений по проекту международного договора о порядке и условиях устранения технических барьеров в торговле с третьими странами, проведение внутригосударственного согласования проекта указанного международного договора и внутригосударственных процедур, необходимых для его подписания подготовка предложений и взаимодействие с Комиссией по вопросам устранения ограничительных мер третьих сторон</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проекта международного договора о порядке и условиях устранения технических барьеров в торговле с третьими странами мониторинг ограничительных мер третьих сторон в отношении государств-членов или Союза, подготовка предложений по устранению ограничительных мер третьих сторон в отношении Союза</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технического регулирования и аккредитации Департамент торговой политики</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объемов торговли с третьими сторонами</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Подготовка предложений по стимулированию развития торговли с третьими сторонами с использованием электронных и информационных технологий</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предложений в соответствующий раздел региональных торговых соглашений, заключаемых между государствами-членами и третьими сторонами проведение мониторинга существующих ограничений в отношении трансграничной электронной торговли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включение соответствующего раздела в региональные торговые соглашения, заключаемые между государствами-членами и третьими сторонами подготовка предложений по снятию ограничений в отношении трансграничной электронной торговли</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торговой политики</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объемов торговли с третьими сторонами снижение необоснованных расходов и экономических потерь хозяйствующих субъектов</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Развитие транзитных и смешанных перевозок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консультациях по вопросу формирования перевозчиками государств-членов сквозных тарифных ставок на участках маршрутов, проходящих транзитом по территориям двух и более государств-членов и позволяющих привлекать новые, ранее не осуществлявшиеся перевозки анализ условий для осуществления в государствах-членах смешанных перевозок, выработка предложений по развитию смешанных перевозок в международном сообщении развитие транзитных контейнерных перевозок, в том числе путем содействия деятельности субъектов хозяйствования, осуществляющих контейнерные перевозки продолжение консультаций по вопросу предварительного информирования о товарах, ввозимых на таможенную территорию Союза различными видами транспорта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консультаций государств-членов по вопросу формирования перевозчиками государств-членов сквозных тарифных ставок на участках маршрутов, проходящих транзитом по территориям двух и более государств-членов и позволяющих привлекать новые, ранее не осуществлявшиеся перевозки выработка в рамках консультативных органов Комиссии предложений по развитию смешанных перевозок, содействию в организации консультаций государств-членов по вопросам развития смешанных перевозок в международном сообщении организация по запросу государств-членов консультаций по вопросам деятельности Объединенной транспортно-логистической компании создание Коллегией Комиссии специальной рабочей группы экспертов государств-членов по определению основных направлений и этапов реализации скоординированной (согласованной) транспортной политики организация консультаций по вопросу предварительного информирования о товарах, ввозимых на таможенную территорию Союза различными видами транспорта</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транспорта и инфраструктуры, Департамент таможенного законодательства и правоприменительной практики Департамент таможенной инфраструктуры, Департамент транспорта и инфраструктуры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дополнительных объемов перевозок сокращение временных и стоимостных затрат, связанных с совершением таможенных операций, необходимых при перемещении товаров через таможенную границу Союза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