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aee4c" w14:textId="cfae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классификации институциональных секторов экономики</w:t>
      </w:r>
    </w:p>
    <w:p>
      <w:pPr>
        <w:spacing w:after="0"/>
        <w:ind w:left="0"/>
        <w:jc w:val="both"/>
      </w:pPr>
      <w:r>
        <w:rPr>
          <w:rFonts w:ascii="Times New Roman"/>
          <w:b w:val="false"/>
          <w:i w:val="false"/>
          <w:color w:val="000000"/>
          <w:sz w:val="28"/>
        </w:rPr>
        <w:t>Рекомендация Коллегии Евразийской экономической комиссии от 18 августа 2015 года № 18</w:t>
      </w:r>
    </w:p>
    <w:p>
      <w:pPr>
        <w:spacing w:after="0"/>
        <w:ind w:left="0"/>
        <w:jc w:val="both"/>
      </w:pPr>
      <w:bookmarkStart w:name="z1" w:id="0"/>
      <w:r>
        <w:rPr>
          <w:rFonts w:ascii="Times New Roman"/>
          <w:b w:val="false"/>
          <w:i w:val="false"/>
          <w:color w:val="000000"/>
          <w:sz w:val="28"/>
        </w:rPr>
        <w:t>
      Коллегия Евразийской экономической комиссии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Протокола о порядке формирования и распространения официальной статистической информации Евразийского экономического союза (</w:t>
      </w:r>
      <w:r>
        <w:rPr>
          <w:rFonts w:ascii="Times New Roman"/>
          <w:b w:val="false"/>
          <w:i w:val="false"/>
          <w:color w:val="000000"/>
          <w:sz w:val="28"/>
        </w:rPr>
        <w:t>приложение № 4</w:t>
      </w:r>
      <w:r>
        <w:rPr>
          <w:rFonts w:ascii="Times New Roman"/>
          <w:b w:val="false"/>
          <w:i w:val="false"/>
          <w:color w:val="000000"/>
          <w:sz w:val="28"/>
        </w:rPr>
        <w:t xml:space="preserve"> к Договору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рекомендует</w:t>
      </w:r>
      <w:r>
        <w:rPr>
          <w:rFonts w:ascii="Times New Roman"/>
          <w:b w:val="false"/>
          <w:i w:val="false"/>
          <w:color w:val="000000"/>
          <w:sz w:val="28"/>
        </w:rPr>
        <w:t xml:space="preserve"> уполномоченным органам государств – членов Евразийского экономического союза с даты официального опубликования настоящей Рекомендации:</w:t>
      </w:r>
      <w:r>
        <w:br/>
      </w:r>
      <w:r>
        <w:rPr>
          <w:rFonts w:ascii="Times New Roman"/>
          <w:b w:val="false"/>
          <w:i w:val="false"/>
          <w:color w:val="000000"/>
          <w:sz w:val="28"/>
        </w:rPr>
        <w:t>
</w:t>
      </w:r>
      <w:r>
        <w:rPr>
          <w:rFonts w:ascii="Times New Roman"/>
          <w:b w:val="false"/>
          <w:i w:val="false"/>
          <w:color w:val="000000"/>
          <w:sz w:val="28"/>
        </w:rPr>
        <w:t>
      Применять международный стандарт «Система национальных счетов 2008 года» в части классификации институциональных секторов экономики согласно </w:t>
      </w:r>
      <w:r>
        <w:rPr>
          <w:rFonts w:ascii="Times New Roman"/>
          <w:b w:val="false"/>
          <w:i w:val="false"/>
          <w:color w:val="000000"/>
          <w:sz w:val="28"/>
        </w:rPr>
        <w:t>приложению</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bookmarkStart w:name="z4" w:id="1"/>
    <w:p>
      <w:pPr>
        <w:spacing w:after="0"/>
        <w:ind w:left="0"/>
        <w:jc w:val="both"/>
      </w:pPr>
      <w:r>
        <w:rPr>
          <w:rFonts w:ascii="Times New Roman"/>
          <w:b w:val="false"/>
          <w:i w:val="false"/>
          <w:color w:val="000000"/>
          <w:sz w:val="28"/>
        </w:rPr>
        <w:t xml:space="preserve">
ПРИЛОЖЕНИЕ            </w:t>
      </w:r>
    </w:p>
    <w:bookmarkEnd w:id="1"/>
    <w:p>
      <w:pPr>
        <w:spacing w:after="0"/>
        <w:ind w:left="0"/>
        <w:jc w:val="both"/>
      </w:pPr>
      <w:r>
        <w:rPr>
          <w:rFonts w:ascii="Times New Roman"/>
          <w:b w:val="false"/>
          <w:i w:val="false"/>
          <w:color w:val="000000"/>
          <w:sz w:val="28"/>
        </w:rPr>
        <w:t xml:space="preserve">к Рекомендации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18 августа 2015 г. № 18   </w:t>
      </w:r>
    </w:p>
    <w:bookmarkStart w:name="z5" w:id="2"/>
    <w:p>
      <w:pPr>
        <w:spacing w:after="0"/>
        <w:ind w:left="0"/>
        <w:jc w:val="left"/>
      </w:pPr>
      <w:r>
        <w:rPr>
          <w:rFonts w:ascii="Times New Roman"/>
          <w:b/>
          <w:i w:val="false"/>
          <w:color w:val="000000"/>
        </w:rPr>
        <w:t xml:space="preserve"> 
КЛАССИФИКАЦИЯ</w:t>
      </w:r>
      <w:r>
        <w:br/>
      </w:r>
      <w:r>
        <w:rPr>
          <w:rFonts w:ascii="Times New Roman"/>
          <w:b/>
          <w:i w:val="false"/>
          <w:color w:val="000000"/>
        </w:rPr>
        <w:t>
институциональных секторов экономики</w:t>
      </w:r>
    </w:p>
    <w:bookmarkEnd w:id="2"/>
    <w:bookmarkStart w:name="z6" w:id="3"/>
    <w:p>
      <w:pPr>
        <w:spacing w:after="0"/>
        <w:ind w:left="0"/>
        <w:jc w:val="both"/>
      </w:pPr>
      <w:r>
        <w:rPr>
          <w:rFonts w:ascii="Times New Roman"/>
          <w:b w:val="false"/>
          <w:i w:val="false"/>
          <w:color w:val="000000"/>
          <w:sz w:val="28"/>
        </w:rPr>
        <w:t>
      1. Классификация институциональных секторов экономики (далее – КИСЭ) построена на основе международного стандарта «Система национальных счетов 2008 года» (далее – СНС-2008). КИСЭ позволяет с учетом особенностей законодательства государств – членов Евразийского экономического союза (далее – государства-члены) единообразно классифицировать институциональные единицы в соответствии с их функциональным назначением по секторам (подсекторам) экономики. Применение КИСЭ направлено на обеспечение сопоставимости официальной статистической информации государств-членов. КИСЭ рекомендуется для практического применения в сфере статистики.</w:t>
      </w:r>
      <w:r>
        <w:br/>
      </w:r>
      <w:r>
        <w:rPr>
          <w:rFonts w:ascii="Times New Roman"/>
          <w:b w:val="false"/>
          <w:i w:val="false"/>
          <w:color w:val="000000"/>
          <w:sz w:val="28"/>
        </w:rPr>
        <w:t>
</w:t>
      </w:r>
      <w:r>
        <w:rPr>
          <w:rFonts w:ascii="Times New Roman"/>
          <w:b w:val="false"/>
          <w:i w:val="false"/>
          <w:color w:val="000000"/>
          <w:sz w:val="28"/>
        </w:rPr>
        <w:t>
      2. При составлении КИСЭ использованы следующие документы:</w:t>
      </w:r>
      <w:r>
        <w:br/>
      </w:r>
      <w:r>
        <w:rPr>
          <w:rFonts w:ascii="Times New Roman"/>
          <w:b w:val="false"/>
          <w:i w:val="false"/>
          <w:color w:val="000000"/>
          <w:sz w:val="28"/>
        </w:rPr>
        <w:t>
      а) СНС-2008, разработанная при участии Всемирного банка, Европейской комиссии, Международного валютного фонда, Организации экономического сотрудничества и развития, Организации Объединенных Наций;</w:t>
      </w:r>
      <w:r>
        <w:br/>
      </w:r>
      <w:r>
        <w:rPr>
          <w:rFonts w:ascii="Times New Roman"/>
          <w:b w:val="false"/>
          <w:i w:val="false"/>
          <w:color w:val="000000"/>
          <w:sz w:val="28"/>
        </w:rPr>
        <w:t>
      б) Модельный статистический классификатор секторов экономики СНГ, разработанный Межгосударственным статистическим комитетом Содружества Независимых Государств (2014 г.);</w:t>
      </w:r>
      <w:r>
        <w:br/>
      </w:r>
      <w:r>
        <w:rPr>
          <w:rFonts w:ascii="Times New Roman"/>
          <w:b w:val="false"/>
          <w:i w:val="false"/>
          <w:color w:val="000000"/>
          <w:sz w:val="28"/>
        </w:rPr>
        <w:t>
      в) Классификатор секторов экономики, утвержденный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28 декабря 2012 г. № 357.</w:t>
      </w:r>
      <w:r>
        <w:br/>
      </w:r>
      <w:r>
        <w:rPr>
          <w:rFonts w:ascii="Times New Roman"/>
          <w:b w:val="false"/>
          <w:i w:val="false"/>
          <w:color w:val="000000"/>
          <w:sz w:val="28"/>
        </w:rPr>
        <w:t>
</w:t>
      </w:r>
      <w:r>
        <w:rPr>
          <w:rFonts w:ascii="Times New Roman"/>
          <w:b w:val="false"/>
          <w:i w:val="false"/>
          <w:color w:val="000000"/>
          <w:sz w:val="28"/>
        </w:rPr>
        <w:t>
      3. Распространение КИСЭ обеспечивается путем размещения электронной версии документа и сопутствующих справочных материалов на официальном сайте Евразийского экономического союза в информационно-телекоммуникационной сети «Интернет».</w:t>
      </w:r>
      <w:r>
        <w:br/>
      </w:r>
      <w:r>
        <w:rPr>
          <w:rFonts w:ascii="Times New Roman"/>
          <w:b w:val="false"/>
          <w:i w:val="false"/>
          <w:color w:val="000000"/>
          <w:sz w:val="28"/>
        </w:rPr>
        <w:t>
</w:t>
      </w:r>
      <w:r>
        <w:rPr>
          <w:rFonts w:ascii="Times New Roman"/>
          <w:b w:val="false"/>
          <w:i w:val="false"/>
          <w:color w:val="000000"/>
          <w:sz w:val="28"/>
        </w:rPr>
        <w:t>
      4. Основанием для внесения изменений или отмены КИСЭ является внесение изменений или отмена СНС-2008.</w:t>
      </w:r>
      <w:r>
        <w:br/>
      </w:r>
      <w:r>
        <w:rPr>
          <w:rFonts w:ascii="Times New Roman"/>
          <w:b w:val="false"/>
          <w:i w:val="false"/>
          <w:color w:val="000000"/>
          <w:sz w:val="28"/>
        </w:rPr>
        <w:t>
</w:t>
      </w:r>
      <w:r>
        <w:rPr>
          <w:rFonts w:ascii="Times New Roman"/>
          <w:b w:val="false"/>
          <w:i w:val="false"/>
          <w:color w:val="000000"/>
          <w:sz w:val="28"/>
        </w:rPr>
        <w:t>
      5. КИСЭ включает в себя классификатор КИСЭ по форме согласно </w:t>
      </w:r>
      <w:r>
        <w:rPr>
          <w:rFonts w:ascii="Times New Roman"/>
          <w:b w:val="false"/>
          <w:i w:val="false"/>
          <w:color w:val="000000"/>
          <w:sz w:val="28"/>
        </w:rPr>
        <w:t>приложению № 1</w:t>
      </w:r>
      <w:r>
        <w:rPr>
          <w:rFonts w:ascii="Times New Roman"/>
          <w:b w:val="false"/>
          <w:i w:val="false"/>
          <w:color w:val="000000"/>
          <w:sz w:val="28"/>
        </w:rPr>
        <w:t>, таблицу альтернативных группировок КИСЭ согласно </w:t>
      </w:r>
      <w:r>
        <w:rPr>
          <w:rFonts w:ascii="Times New Roman"/>
          <w:b w:val="false"/>
          <w:i w:val="false"/>
          <w:color w:val="000000"/>
          <w:sz w:val="28"/>
        </w:rPr>
        <w:t>приложению № 2</w:t>
      </w:r>
      <w:r>
        <w:rPr>
          <w:rFonts w:ascii="Times New Roman"/>
          <w:b w:val="false"/>
          <w:i w:val="false"/>
          <w:color w:val="000000"/>
          <w:sz w:val="28"/>
        </w:rPr>
        <w:t xml:space="preserve"> и методологические пояснения по отнесению институциональных единиц к секторам экономики согласно </w:t>
      </w:r>
      <w:r>
        <w:rPr>
          <w:rFonts w:ascii="Times New Roman"/>
          <w:b w:val="false"/>
          <w:i w:val="false"/>
          <w:color w:val="000000"/>
          <w:sz w:val="28"/>
        </w:rPr>
        <w:t>приложению № 3</w:t>
      </w:r>
      <w:r>
        <w:rPr>
          <w:rFonts w:ascii="Times New Roman"/>
          <w:b w:val="false"/>
          <w:i w:val="false"/>
          <w:color w:val="000000"/>
          <w:sz w:val="28"/>
        </w:rPr>
        <w:t>.</w:t>
      </w:r>
      <w:r>
        <w:br/>
      </w:r>
      <w:r>
        <w:rPr>
          <w:rFonts w:ascii="Times New Roman"/>
          <w:b w:val="false"/>
          <w:i w:val="false"/>
          <w:color w:val="000000"/>
          <w:sz w:val="28"/>
        </w:rPr>
        <w:t>
      Понятия и определения, используемые в КИСЭ, следует понимать согласно СНС-2008 с учетом особенностей законодательства государств-членов.</w:t>
      </w:r>
      <w:r>
        <w:br/>
      </w:r>
      <w:r>
        <w:rPr>
          <w:rFonts w:ascii="Times New Roman"/>
          <w:b w:val="false"/>
          <w:i w:val="false"/>
          <w:color w:val="000000"/>
          <w:sz w:val="28"/>
        </w:rPr>
        <w:t>
</w:t>
      </w:r>
      <w:r>
        <w:rPr>
          <w:rFonts w:ascii="Times New Roman"/>
          <w:b w:val="false"/>
          <w:i w:val="false"/>
          <w:color w:val="000000"/>
          <w:sz w:val="28"/>
        </w:rPr>
        <w:t>
      6. Классификатор КИСЭ построен с использованием иерархического метода классификации и последовательного метода кодирования.</w:t>
      </w:r>
      <w:r>
        <w:br/>
      </w:r>
      <w:r>
        <w:rPr>
          <w:rFonts w:ascii="Times New Roman"/>
          <w:b w:val="false"/>
          <w:i w:val="false"/>
          <w:color w:val="000000"/>
          <w:sz w:val="28"/>
        </w:rPr>
        <w:t>
</w:t>
      </w:r>
      <w:r>
        <w:rPr>
          <w:rFonts w:ascii="Times New Roman"/>
          <w:b w:val="false"/>
          <w:i w:val="false"/>
          <w:color w:val="000000"/>
          <w:sz w:val="28"/>
        </w:rPr>
        <w:t>
      7. Для идентификации классификационных группировок используется 5-значный цифровой код переменной длины от 1 до 5 знаков, имеющий следующую структуру:</w:t>
      </w:r>
      <w:r>
        <w:br/>
      </w:r>
      <w:r>
        <w:rPr>
          <w:rFonts w:ascii="Times New Roman"/>
          <w:b w:val="false"/>
          <w:i w:val="false"/>
          <w:color w:val="000000"/>
          <w:sz w:val="28"/>
        </w:rPr>
        <w:t>
      Х – секция;</w:t>
      </w:r>
      <w:r>
        <w:br/>
      </w:r>
      <w:r>
        <w:rPr>
          <w:rFonts w:ascii="Times New Roman"/>
          <w:b w:val="false"/>
          <w:i w:val="false"/>
          <w:color w:val="000000"/>
          <w:sz w:val="28"/>
        </w:rPr>
        <w:t>
      ХХ – сектор;</w:t>
      </w:r>
      <w:r>
        <w:br/>
      </w:r>
      <w:r>
        <w:rPr>
          <w:rFonts w:ascii="Times New Roman"/>
          <w:b w:val="false"/>
          <w:i w:val="false"/>
          <w:color w:val="000000"/>
          <w:sz w:val="28"/>
        </w:rPr>
        <w:t>
      ХХХ – подсектор;</w:t>
      </w:r>
      <w:r>
        <w:br/>
      </w:r>
      <w:r>
        <w:rPr>
          <w:rFonts w:ascii="Times New Roman"/>
          <w:b w:val="false"/>
          <w:i w:val="false"/>
          <w:color w:val="000000"/>
          <w:sz w:val="28"/>
        </w:rPr>
        <w:t>
      ХХХХ – группа;</w:t>
      </w:r>
      <w:r>
        <w:br/>
      </w:r>
      <w:r>
        <w:rPr>
          <w:rFonts w:ascii="Times New Roman"/>
          <w:b w:val="false"/>
          <w:i w:val="false"/>
          <w:color w:val="000000"/>
          <w:sz w:val="28"/>
        </w:rPr>
        <w:t>
      ХХХХХ – подгруппа.</w:t>
      </w:r>
      <w:r>
        <w:br/>
      </w:r>
      <w:r>
        <w:rPr>
          <w:rFonts w:ascii="Times New Roman"/>
          <w:b w:val="false"/>
          <w:i w:val="false"/>
          <w:color w:val="000000"/>
          <w:sz w:val="28"/>
        </w:rPr>
        <w:t>
      Пример построения кода:</w:t>
      </w:r>
      <w:r>
        <w:br/>
      </w:r>
      <w:r>
        <w:rPr>
          <w:rFonts w:ascii="Times New Roman"/>
          <w:b w:val="false"/>
          <w:i w:val="false"/>
          <w:color w:val="000000"/>
          <w:sz w:val="28"/>
        </w:rPr>
        <w:t>
      Секция 1 Экономика в целом;</w:t>
      </w:r>
      <w:r>
        <w:br/>
      </w:r>
      <w:r>
        <w:rPr>
          <w:rFonts w:ascii="Times New Roman"/>
          <w:b w:val="false"/>
          <w:i w:val="false"/>
          <w:color w:val="000000"/>
          <w:sz w:val="28"/>
        </w:rPr>
        <w:t>
      Сектор 1.2 Финансовые корпорации;</w:t>
      </w:r>
      <w:r>
        <w:br/>
      </w:r>
      <w:r>
        <w:rPr>
          <w:rFonts w:ascii="Times New Roman"/>
          <w:b w:val="false"/>
          <w:i w:val="false"/>
          <w:color w:val="000000"/>
          <w:sz w:val="28"/>
        </w:rPr>
        <w:t>
      Подсектор 1.2.2 Корпорации, принимающие депозиты, кроме национального (центрального) банка;</w:t>
      </w:r>
      <w:r>
        <w:br/>
      </w:r>
      <w:r>
        <w:rPr>
          <w:rFonts w:ascii="Times New Roman"/>
          <w:b w:val="false"/>
          <w:i w:val="false"/>
          <w:color w:val="000000"/>
          <w:sz w:val="28"/>
        </w:rPr>
        <w:t>
      Группа 1.2.2.1 Государственные корпорации, принимающие депозиты;</w:t>
      </w:r>
      <w:r>
        <w:br/>
      </w:r>
      <w:r>
        <w:rPr>
          <w:rFonts w:ascii="Times New Roman"/>
          <w:b w:val="false"/>
          <w:i w:val="false"/>
          <w:color w:val="000000"/>
          <w:sz w:val="28"/>
        </w:rPr>
        <w:t>
      Подгруппа 1.2.2.1.1 Государственные корпорации, принимающие депозиты, – НКО.</w:t>
      </w:r>
      <w:r>
        <w:br/>
      </w:r>
      <w:r>
        <w:rPr>
          <w:rFonts w:ascii="Times New Roman"/>
          <w:b w:val="false"/>
          <w:i w:val="false"/>
          <w:color w:val="000000"/>
          <w:sz w:val="28"/>
        </w:rPr>
        <w:t>
</w:t>
      </w:r>
      <w:r>
        <w:rPr>
          <w:rFonts w:ascii="Times New Roman"/>
          <w:b w:val="false"/>
          <w:i w:val="false"/>
          <w:color w:val="000000"/>
          <w:sz w:val="28"/>
        </w:rPr>
        <w:t>
      8. Альтернативные группировки КИСЭ построены на основе кодов классификатора КИСЭ и предназначены для альтернативного способа группировки некоммерческих организаций и организаций, ориентированных на получение прибыли.</w:t>
      </w:r>
    </w:p>
    <w:bookmarkEnd w:id="3"/>
    <w:bookmarkStart w:name="z14" w:id="4"/>
    <w:p>
      <w:pPr>
        <w:spacing w:after="0"/>
        <w:ind w:left="0"/>
        <w:jc w:val="both"/>
      </w:pPr>
      <w:r>
        <w:rPr>
          <w:rFonts w:ascii="Times New Roman"/>
          <w:b w:val="false"/>
          <w:i w:val="false"/>
          <w:color w:val="000000"/>
          <w:sz w:val="28"/>
        </w:rPr>
        <w:t xml:space="preserve">
ПРИЛОЖЕНИЕ № 1        </w:t>
      </w:r>
    </w:p>
    <w:bookmarkEnd w:id="4"/>
    <w:p>
      <w:pPr>
        <w:spacing w:after="0"/>
        <w:ind w:left="0"/>
        <w:jc w:val="both"/>
      </w:pPr>
      <w:r>
        <w:rPr>
          <w:rFonts w:ascii="Times New Roman"/>
          <w:b w:val="false"/>
          <w:i w:val="false"/>
          <w:color w:val="000000"/>
          <w:sz w:val="28"/>
        </w:rPr>
        <w:t>к классификации институциональных</w:t>
      </w:r>
      <w:r>
        <w:br/>
      </w:r>
      <w:r>
        <w:rPr>
          <w:rFonts w:ascii="Times New Roman"/>
          <w:b w:val="false"/>
          <w:i w:val="false"/>
          <w:color w:val="000000"/>
          <w:sz w:val="28"/>
        </w:rPr>
        <w:t xml:space="preserve">
секторов экономики      </w:t>
      </w:r>
    </w:p>
    <w:bookmarkStart w:name="z15" w:id="5"/>
    <w:p>
      <w:pPr>
        <w:spacing w:after="0"/>
        <w:ind w:left="0"/>
        <w:jc w:val="both"/>
      </w:pPr>
      <w:r>
        <w:rPr>
          <w:rFonts w:ascii="Times New Roman"/>
          <w:b w:val="false"/>
          <w:i w:val="false"/>
          <w:color w:val="000000"/>
          <w:sz w:val="28"/>
        </w:rPr>
        <w:t>
</w:t>
      </w:r>
      <w:r>
        <w:rPr>
          <w:rFonts w:ascii="Times New Roman"/>
          <w:b/>
          <w:i w:val="false"/>
          <w:color w:val="000000"/>
          <w:sz w:val="28"/>
        </w:rPr>
        <w:t>                        КЛАССИФИКАТОР</w:t>
      </w:r>
      <w:r>
        <w:br/>
      </w:r>
      <w:r>
        <w:rPr>
          <w:rFonts w:ascii="Times New Roman"/>
          <w:b w:val="false"/>
          <w:i w:val="false"/>
          <w:color w:val="000000"/>
          <w:sz w:val="28"/>
        </w:rPr>
        <w:t>
       </w:t>
      </w:r>
      <w:r>
        <w:rPr>
          <w:rFonts w:ascii="Times New Roman"/>
          <w:b/>
          <w:i w:val="false"/>
          <w:color w:val="000000"/>
          <w:sz w:val="28"/>
        </w:rPr>
        <w:t>классификации институциональных секторов экономики</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5"/>
        <w:gridCol w:w="11865"/>
      </w:tblGrid>
      <w:tr>
        <w:trPr>
          <w:trHeight w:val="48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группировки</w:t>
            </w:r>
          </w:p>
        </w:tc>
      </w:tr>
    </w:tbl>
    <w:tbl>
      <w:tblPr>
        <w:tblW w:w="0" w:type="auto"/>
        <w:tblCellSpacing w:w="0" w:type="auto"/>
        <w:tblBorders>
          <w:top w:val="none"/>
          <w:left w:val="none"/>
          <w:bottom w:val="none"/>
          <w:right w:val="none"/>
          <w:insideH w:val="none"/>
          <w:insideV w:val="none"/>
        </w:tblBorders>
      </w:tblPr>
      <w:tblGrid>
        <w:gridCol w:w="2125"/>
        <w:gridCol w:w="11875"/>
      </w:tblGrid>
      <w:tr>
        <w:trPr>
          <w:trHeight w:val="75"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в целом</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Нефинансовые корпорации</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нефинансовые корпорации</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нефинансовые корпорации</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нефинансовые корпорации – НКО*</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нефинансовые корпорации – ОПП**</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частные нефинансовые корпорации</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частные нефинансовые корпорации</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частные нефинансовые корпорации – НКО</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частные нефинансовые корпорации – ОПП</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Нефинансовые корпорации под иностранным контролем</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Нефинансовые корпорации под иностранным контролем</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Нефинансовые корпорации под иностранным контролем – НКО</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Нефинансовые корпорации под иностранным контролем – ОПП</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корпорации</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 (центральный) банк</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Корпорации, принимающие депозиты, кроме национального (центрального) банка</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корпорации, принимающие депозиты</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корпорации, принимающие депозиты, – НКО</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корпорации, принимающие депозиты, – ОПП</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частные корпорации, принимающие депозиты</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частные корпорации, принимающие депозиты, – НКО</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частные корпорации, принимающие депозиты, – ОПП</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Корпорации, принимающие депозиты, под иностранным контролем</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Корпорации, принимающие депозиты, под иностранным контролем – НКО</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Корпорации, принимающие депозиты, под иностранным контролем – ОПП</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Фонды денежного рынка</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фонды денежного рынка</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фонды денежного рынка – НКО</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фонды денежного рынка – ОПП</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частные фонды денежного рынка</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частные фонды денежного рынка – НКО</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частные фонды денежного рынка – ОПП</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Фонды денежного рынка под иностранным контролем</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Фонды денежного рынка под иностранным контролем – НКО</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Фонды денежного рынка под иностранным контролем – ОПП</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фонды неденежного рынка</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инвестиционные фонды неденежного рынка</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инвестиционные фонды неденежного рынка – НКО</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инвестиционные фонды неденежного рынка – ОПП</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частные инвестиционные фонды неденежного рынка</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частные инвестиционные фонды неденежного рынка – НКО</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частные инвестиционные фонды неденежного рынка – ОПП</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фонды неденежного рынка под иностранным контролем</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фонды неденежного рынка под иностранным контролем – НКО</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фонды неденежного рынка под иностранным контролем – ОПП</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финансовые посредники, кроме страховых корпораций и пенсионных фондов</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государственные финансовые корпорации</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государственные финансовые корпорации – НКО</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государственные финансовые корпорации – ОПП</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национальные частные финансовые корпорации</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национальные частные финансовые корпорации – НКО</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национальные частные финансовые корпорации – ОПП</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финансовые корпорации под иностранным контролем</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финансовые корпорации под иностранным контролем – НКО</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финансовые корпорации под иностранным контролем – ОПП</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 финансовые корпорации</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вспомогательные финансовые корпорации</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вспомогательные финансовые корпорации – НКО</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вспомогательные финансовые корпорации – ОПП</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частные вспомогательные финансовые корпорации</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частные вспомогательные финансовые корпорации – НКО</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частные вспомогательные финансовые корпорации – ОПП</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корпорации вспомогательные под иностранным контролем</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корпорации вспомогательные под иностранным контролем – НКО</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корпорации вспомогательные под иностранным контролем – ОПП</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Кэптивные финансовые учреждения и ростовщики</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кэптивные финансовые учреждения</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кэптивные финансовые учреждения – НКО</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кэптивные финансовые учреждения – ОПП</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частные кэптивные финансовые учреждения</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частные кэптивные финансовые учреждения – НКО</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частные кэптивные финансовые учреждения – ОПП</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Кэптивные финансовые учреждения под иностранным контролем</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Кэптивные финансовые учреждения под иностранным контролем – НКО</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Кэптивные финансовые учреждения под иностранным контролем – ОПП</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корпорации</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страховые корпорации</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страховые корпорации – НКО</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страховые корпорации – ОПП</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частные страховые корпорации</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частные страховые корпорации – НКО</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частные страховые корпорации – ОПП</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корпорации под иностранным контролем</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корпорации под иностранным контролем – НКО</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корпорации под иностранным контролем – ОПП</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Пенсионные фонды</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пенсионные фонды </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пенсионные фонды – НКО</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пенсионные фонды – ОПП</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частные пенсионные фонды</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частные пенсионные фонды – НКО</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частные пенсионные фонды – ОПП</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Пенсионные фонды под иностранным контролем</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Пенсионные фонды под иностранным контролем – НКО</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Пенсионные фонды под иностранным контролем – ОПП</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управление</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органы управления (центральное правительҒство)</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органы управления (кроме фондов социального обеспечения и нерыночных НКО, контролируемых центральными органами управления)</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Нерыночные НКО, контролируемые центральными органами управления</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Региональные органы управления </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Региональные органы управления (кроме фондов социального обеспечения и нерыночных НКО, контролируемых региональными органами управления)</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Нерыночные НКО, контролируемые региональными органами управления</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 органы управления</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 органы управления (кроме фондов социального обеспечения и нерыночных НКО, контролируемых местными органами управления)</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Нерыночные НКО, контролируемые местными органами управления</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Фонды государственного социального обеспечения</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Фонды социального обеспечения центральных органов управления</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Фонды социального обеспечения региональных органов управления</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Фонды социального обеспечения местных органов управления</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Домашние хозяйства</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Работодатели</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Самостоятельно занятые лица</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работающие по найму</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Получатели доходов от собственности и трансфертов</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Получатели доходов от собственности</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Получатели пенсий</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Получатели других трансфертных доходов</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Некоммерческие организации, обслуживающие домашние хозяйства</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частные некоммерческие организации, обслуживающие домашние хозяйства</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Некоммерческие организации, обслуживающие домашние хозяйства, под иностранным контролем</w:t>
            </w:r>
          </w:p>
        </w:tc>
      </w:tr>
      <w:tr>
        <w:trPr>
          <w:trHeight w:val="30" w:hRule="atLeast"/>
        </w:trPr>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Остальной мир</w:t>
            </w:r>
          </w:p>
        </w:tc>
      </w:tr>
    </w:tbl>
    <w:p>
      <w:pPr>
        <w:spacing w:after="0"/>
        <w:ind w:left="0"/>
        <w:jc w:val="both"/>
      </w:pPr>
      <w:r>
        <w:rPr>
          <w:rFonts w:ascii="Times New Roman"/>
          <w:b w:val="false"/>
          <w:i w:val="false"/>
          <w:color w:val="000000"/>
          <w:sz w:val="28"/>
        </w:rPr>
        <w:t>____________</w:t>
      </w:r>
      <w:r>
        <w:br/>
      </w:r>
      <w:r>
        <w:rPr>
          <w:rFonts w:ascii="Times New Roman"/>
          <w:b w:val="false"/>
          <w:i w:val="false"/>
          <w:color w:val="000000"/>
          <w:sz w:val="28"/>
        </w:rPr>
        <w:t>
Примечание. В настоящем классификаторе применяются сокращения, которые означают следующее:</w:t>
      </w:r>
      <w:r>
        <w:br/>
      </w:r>
      <w:r>
        <w:rPr>
          <w:rFonts w:ascii="Times New Roman"/>
          <w:b w:val="false"/>
          <w:i w:val="false"/>
          <w:color w:val="000000"/>
          <w:sz w:val="28"/>
        </w:rPr>
        <w:t>
            НКО – некоммерческие организации;</w:t>
      </w:r>
      <w:r>
        <w:br/>
      </w:r>
      <w:r>
        <w:rPr>
          <w:rFonts w:ascii="Times New Roman"/>
          <w:b w:val="false"/>
          <w:i w:val="false"/>
          <w:color w:val="000000"/>
          <w:sz w:val="28"/>
        </w:rPr>
        <w:t>
            ОПП – организации, ориентированные на получение прибыли.</w:t>
      </w:r>
    </w:p>
    <w:bookmarkStart w:name="z17" w:id="6"/>
    <w:p>
      <w:pPr>
        <w:spacing w:after="0"/>
        <w:ind w:left="0"/>
        <w:jc w:val="both"/>
      </w:pPr>
      <w:r>
        <w:rPr>
          <w:rFonts w:ascii="Times New Roman"/>
          <w:b w:val="false"/>
          <w:i w:val="false"/>
          <w:color w:val="000000"/>
          <w:sz w:val="28"/>
        </w:rPr>
        <w:t xml:space="preserve">
ПРИЛОЖЕНИЕ № 2        </w:t>
      </w:r>
    </w:p>
    <w:bookmarkEnd w:id="6"/>
    <w:p>
      <w:pPr>
        <w:spacing w:after="0"/>
        <w:ind w:left="0"/>
        <w:jc w:val="both"/>
      </w:pPr>
      <w:r>
        <w:rPr>
          <w:rFonts w:ascii="Times New Roman"/>
          <w:b w:val="false"/>
          <w:i w:val="false"/>
          <w:color w:val="000000"/>
          <w:sz w:val="28"/>
        </w:rPr>
        <w:t>к классификации институциональных</w:t>
      </w:r>
      <w:r>
        <w:br/>
      </w:r>
      <w:r>
        <w:rPr>
          <w:rFonts w:ascii="Times New Roman"/>
          <w:b w:val="false"/>
          <w:i w:val="false"/>
          <w:color w:val="000000"/>
          <w:sz w:val="28"/>
        </w:rPr>
        <w:t xml:space="preserve">
секторов экономики      </w:t>
      </w:r>
    </w:p>
    <w:bookmarkStart w:name="z18" w:id="7"/>
    <w:p>
      <w:pPr>
        <w:spacing w:after="0"/>
        <w:ind w:left="0"/>
        <w:jc w:val="both"/>
      </w:pPr>
      <w:r>
        <w:rPr>
          <w:rFonts w:ascii="Times New Roman"/>
          <w:b w:val="false"/>
          <w:i w:val="false"/>
          <w:color w:val="000000"/>
          <w:sz w:val="28"/>
        </w:rPr>
        <w:t>
</w:t>
      </w:r>
      <w:r>
        <w:rPr>
          <w:rFonts w:ascii="Times New Roman"/>
          <w:b/>
          <w:i w:val="false"/>
          <w:color w:val="000000"/>
          <w:sz w:val="28"/>
        </w:rPr>
        <w:t xml:space="preserve">                АЛЬТЕРНАТИВНЫЕ ГРУППИРОВКИ </w:t>
      </w:r>
      <w:r>
        <w:br/>
      </w:r>
      <w:r>
        <w:rPr>
          <w:rFonts w:ascii="Times New Roman"/>
          <w:b w:val="false"/>
          <w:i w:val="false"/>
          <w:color w:val="000000"/>
          <w:sz w:val="28"/>
        </w:rPr>
        <w:t>
      </w:t>
      </w:r>
      <w:r>
        <w:rPr>
          <w:rFonts w:ascii="Times New Roman"/>
          <w:b/>
          <w:i w:val="false"/>
          <w:color w:val="000000"/>
          <w:sz w:val="28"/>
        </w:rPr>
        <w:t xml:space="preserve">классификации институциональных секторов экономики </w:t>
      </w:r>
    </w:p>
    <w:bookmarkEnd w:id="7"/>
    <w:bookmarkStart w:name="z19"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2950"/>
        <w:gridCol w:w="8059"/>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альтернативной группировки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альтернативной группировки</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Алгоритм сбора альтернативной группировки</w:t>
            </w:r>
          </w:p>
        </w:tc>
      </w:tr>
    </w:tbl>
    <w:bookmarkEnd w:id="8"/>
    <w:tbl>
      <w:tblPr>
        <w:tblW w:w="0" w:type="auto"/>
        <w:tblCellSpacing w:w="0" w:type="auto"/>
        <w:tblBorders>
          <w:top w:val="none"/>
          <w:left w:val="none"/>
          <w:bottom w:val="none"/>
          <w:right w:val="none"/>
          <w:insideH w:val="none"/>
          <w:insideV w:val="none"/>
        </w:tblBorders>
      </w:tblPr>
      <w:tblGrid>
        <w:gridCol w:w="2986"/>
        <w:gridCol w:w="2945"/>
        <w:gridCol w:w="8069"/>
      </w:tblGrid>
      <w:tr>
        <w:trPr>
          <w:trHeight w:val="30" w:hRule="atLeast"/>
        </w:trPr>
        <w:tc>
          <w:tcPr>
            <w:tcW w:w="2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w:t>
            </w:r>
          </w:p>
        </w:tc>
        <w:tc>
          <w:tcPr>
            <w:tcW w:w="2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Нефинансовые корпорации – НКО</w:t>
            </w:r>
          </w:p>
        </w:tc>
        <w:tc>
          <w:tcPr>
            <w:tcW w:w="8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1.1.0.1.1=1.1.1.1.1+1.1.2.1.1+1.1.3.1.1</w:t>
            </w:r>
          </w:p>
        </w:tc>
      </w:tr>
      <w:tr>
        <w:trPr>
          <w:trHeight w:val="30" w:hRule="atLeast"/>
        </w:trPr>
        <w:tc>
          <w:tcPr>
            <w:tcW w:w="2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w:t>
            </w:r>
          </w:p>
        </w:tc>
        <w:tc>
          <w:tcPr>
            <w:tcW w:w="2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Нефинансовые корпорации – ОПП</w:t>
            </w:r>
          </w:p>
        </w:tc>
        <w:tc>
          <w:tcPr>
            <w:tcW w:w="8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1.1.0.2.1=1.1.1.1.2+1.1.2.1.2+1.1.3.1.2</w:t>
            </w:r>
          </w:p>
        </w:tc>
      </w:tr>
      <w:tr>
        <w:trPr>
          <w:trHeight w:val="30" w:hRule="atLeast"/>
        </w:trPr>
        <w:tc>
          <w:tcPr>
            <w:tcW w:w="2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1.2.2.0.1</w:t>
            </w:r>
          </w:p>
        </w:tc>
        <w:tc>
          <w:tcPr>
            <w:tcW w:w="2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Корпорации, принимающие депозиты, – НКО</w:t>
            </w:r>
          </w:p>
        </w:tc>
        <w:tc>
          <w:tcPr>
            <w:tcW w:w="8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1.2.2.0.1=1.2.2.1.1+1.2.2.2.1+1.2.2.3.1</w:t>
            </w:r>
          </w:p>
        </w:tc>
      </w:tr>
      <w:tr>
        <w:trPr>
          <w:trHeight w:val="30" w:hRule="atLeast"/>
        </w:trPr>
        <w:tc>
          <w:tcPr>
            <w:tcW w:w="2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w:t>
            </w:r>
          </w:p>
        </w:tc>
        <w:tc>
          <w:tcPr>
            <w:tcW w:w="2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Корпорации, принимающие депозиты, – ОПП</w:t>
            </w:r>
          </w:p>
        </w:tc>
        <w:tc>
          <w:tcPr>
            <w:tcW w:w="8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1.2.2.0.2=1.2.2.1.2+1.2.2.2.2+1.2.2.3.2</w:t>
            </w:r>
          </w:p>
        </w:tc>
      </w:tr>
      <w:tr>
        <w:trPr>
          <w:trHeight w:val="30" w:hRule="atLeast"/>
        </w:trPr>
        <w:tc>
          <w:tcPr>
            <w:tcW w:w="2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w:t>
            </w:r>
          </w:p>
        </w:tc>
        <w:tc>
          <w:tcPr>
            <w:tcW w:w="2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Фонды денежного рынка – НКО</w:t>
            </w:r>
          </w:p>
        </w:tc>
        <w:tc>
          <w:tcPr>
            <w:tcW w:w="8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1.2.3.0.1=1.2.3.1.1+1.2.3.2.1+1.2.3.3.1</w:t>
            </w:r>
          </w:p>
        </w:tc>
      </w:tr>
      <w:tr>
        <w:trPr>
          <w:trHeight w:val="30" w:hRule="atLeast"/>
        </w:trPr>
        <w:tc>
          <w:tcPr>
            <w:tcW w:w="2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w:t>
            </w:r>
          </w:p>
        </w:tc>
        <w:tc>
          <w:tcPr>
            <w:tcW w:w="2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Фонды денежного рынка – ОПП</w:t>
            </w:r>
          </w:p>
        </w:tc>
        <w:tc>
          <w:tcPr>
            <w:tcW w:w="8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1.2.2.0.2=1.2.3.1.2+1.2.3.2.2+1.2.3.3.2</w:t>
            </w:r>
          </w:p>
        </w:tc>
      </w:tr>
      <w:tr>
        <w:trPr>
          <w:trHeight w:val="30" w:hRule="atLeast"/>
        </w:trPr>
        <w:tc>
          <w:tcPr>
            <w:tcW w:w="2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1.2.4.0.1</w:t>
            </w:r>
          </w:p>
        </w:tc>
        <w:tc>
          <w:tcPr>
            <w:tcW w:w="2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Инвестиционные фонды неденежного рынка – НКО </w:t>
            </w:r>
          </w:p>
        </w:tc>
        <w:tc>
          <w:tcPr>
            <w:tcW w:w="8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1.2.4.0.1=1.2.4.1.1+1.2.4.2.1+1.2.4.3.1</w:t>
            </w:r>
          </w:p>
        </w:tc>
      </w:tr>
      <w:tr>
        <w:trPr>
          <w:trHeight w:val="30" w:hRule="atLeast"/>
        </w:trPr>
        <w:tc>
          <w:tcPr>
            <w:tcW w:w="2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w:t>
            </w:r>
          </w:p>
        </w:tc>
        <w:tc>
          <w:tcPr>
            <w:tcW w:w="2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фонды неденежного рынка – ОПП</w:t>
            </w:r>
          </w:p>
        </w:tc>
        <w:tc>
          <w:tcPr>
            <w:tcW w:w="8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1.2.4.0.2=1.2.4.1.2+1.2.4.2.2+1.2.4.3.2</w:t>
            </w:r>
          </w:p>
        </w:tc>
      </w:tr>
      <w:tr>
        <w:trPr>
          <w:trHeight w:val="30" w:hRule="atLeast"/>
        </w:trPr>
        <w:tc>
          <w:tcPr>
            <w:tcW w:w="2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1.2.5.0.1</w:t>
            </w:r>
          </w:p>
        </w:tc>
        <w:tc>
          <w:tcPr>
            <w:tcW w:w="2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корпорации прочие – НКО</w:t>
            </w:r>
          </w:p>
        </w:tc>
        <w:tc>
          <w:tcPr>
            <w:tcW w:w="8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1.2.5.0.1=1.2.5.1.1+1.2.5.2.1+1.2.5.3.1</w:t>
            </w:r>
          </w:p>
        </w:tc>
      </w:tr>
      <w:tr>
        <w:trPr>
          <w:trHeight w:val="30" w:hRule="atLeast"/>
        </w:trPr>
        <w:tc>
          <w:tcPr>
            <w:tcW w:w="2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1.2.5.0.2</w:t>
            </w:r>
          </w:p>
        </w:tc>
        <w:tc>
          <w:tcPr>
            <w:tcW w:w="2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корпорации прочие – ОПП</w:t>
            </w:r>
          </w:p>
        </w:tc>
        <w:tc>
          <w:tcPr>
            <w:tcW w:w="8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1.2.5.0.2=1.2.5.1.2+1.2.5.2.2+1.2.5.3.2</w:t>
            </w:r>
          </w:p>
        </w:tc>
      </w:tr>
      <w:tr>
        <w:trPr>
          <w:trHeight w:val="30" w:hRule="atLeast"/>
        </w:trPr>
        <w:tc>
          <w:tcPr>
            <w:tcW w:w="2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1.2.6.0.1</w:t>
            </w:r>
          </w:p>
        </w:tc>
        <w:tc>
          <w:tcPr>
            <w:tcW w:w="2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корпорации вспомогательные – НКО</w:t>
            </w:r>
          </w:p>
        </w:tc>
        <w:tc>
          <w:tcPr>
            <w:tcW w:w="8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1.2.6.0.1=1.2.6.1.1+1.2.6.2.1+1.2.6.3.1</w:t>
            </w:r>
          </w:p>
        </w:tc>
      </w:tr>
      <w:tr>
        <w:trPr>
          <w:trHeight w:val="30" w:hRule="atLeast"/>
        </w:trPr>
        <w:tc>
          <w:tcPr>
            <w:tcW w:w="2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1.2.6.0.2</w:t>
            </w:r>
          </w:p>
        </w:tc>
        <w:tc>
          <w:tcPr>
            <w:tcW w:w="2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корпорации вспомогательные – ОПП</w:t>
            </w:r>
          </w:p>
        </w:tc>
        <w:tc>
          <w:tcPr>
            <w:tcW w:w="8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1.2.6.0.2=1.2.6.1.2+1.2.6.2.2+1.2.6.3.2</w:t>
            </w:r>
          </w:p>
        </w:tc>
      </w:tr>
      <w:tr>
        <w:trPr>
          <w:trHeight w:val="30" w:hRule="atLeast"/>
        </w:trPr>
        <w:tc>
          <w:tcPr>
            <w:tcW w:w="2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w:t>
            </w:r>
          </w:p>
        </w:tc>
        <w:tc>
          <w:tcPr>
            <w:tcW w:w="2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Кэптивные финансовые учреждения – НКО</w:t>
            </w:r>
          </w:p>
        </w:tc>
        <w:tc>
          <w:tcPr>
            <w:tcW w:w="8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1.2.7.0.1=1.2.7.1.1+1.2.7.2.1+1.2.7.3.1</w:t>
            </w:r>
          </w:p>
        </w:tc>
      </w:tr>
      <w:tr>
        <w:trPr>
          <w:trHeight w:val="30" w:hRule="atLeast"/>
        </w:trPr>
        <w:tc>
          <w:tcPr>
            <w:tcW w:w="2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1.2.7.0.2</w:t>
            </w:r>
          </w:p>
        </w:tc>
        <w:tc>
          <w:tcPr>
            <w:tcW w:w="2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Кэптивные финансовые учреждения – ОПП</w:t>
            </w:r>
          </w:p>
        </w:tc>
        <w:tc>
          <w:tcPr>
            <w:tcW w:w="8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1.2.7.0.2=1.2.7.1.2+1.2.7.2.2+1.2.7.3.2</w:t>
            </w:r>
          </w:p>
        </w:tc>
      </w:tr>
      <w:tr>
        <w:trPr>
          <w:trHeight w:val="30" w:hRule="atLeast"/>
        </w:trPr>
        <w:tc>
          <w:tcPr>
            <w:tcW w:w="2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1.2.8.0.1</w:t>
            </w:r>
          </w:p>
        </w:tc>
        <w:tc>
          <w:tcPr>
            <w:tcW w:w="2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корпорации – НКО</w:t>
            </w:r>
          </w:p>
        </w:tc>
        <w:tc>
          <w:tcPr>
            <w:tcW w:w="8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1.2.8.0.1=1.2.8.1.1+1.2.8.2.1+1.2.8.3.1</w:t>
            </w:r>
          </w:p>
        </w:tc>
      </w:tr>
      <w:tr>
        <w:trPr>
          <w:trHeight w:val="30" w:hRule="atLeast"/>
        </w:trPr>
        <w:tc>
          <w:tcPr>
            <w:tcW w:w="2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альтернативной группировки</w:t>
            </w:r>
          </w:p>
        </w:tc>
        <w:tc>
          <w:tcPr>
            <w:tcW w:w="2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альтернативной группировки</w:t>
            </w:r>
          </w:p>
        </w:tc>
        <w:tc>
          <w:tcPr>
            <w:tcW w:w="8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Алгоритм сбора альтернативной группировки</w:t>
            </w:r>
          </w:p>
        </w:tc>
      </w:tr>
      <w:tr>
        <w:trPr>
          <w:trHeight w:val="30" w:hRule="atLeast"/>
        </w:trPr>
        <w:tc>
          <w:tcPr>
            <w:tcW w:w="2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1.2.8.0.2</w:t>
            </w:r>
          </w:p>
        </w:tc>
        <w:tc>
          <w:tcPr>
            <w:tcW w:w="2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корпорации – ОПП</w:t>
            </w:r>
          </w:p>
        </w:tc>
        <w:tc>
          <w:tcPr>
            <w:tcW w:w="8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1.2.8.0.2=1.2.8.1.2+1.2.8.2.2+1.2.8.3.2</w:t>
            </w:r>
          </w:p>
        </w:tc>
      </w:tr>
      <w:tr>
        <w:trPr>
          <w:trHeight w:val="30" w:hRule="atLeast"/>
        </w:trPr>
        <w:tc>
          <w:tcPr>
            <w:tcW w:w="2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1.2.9.0.1</w:t>
            </w:r>
          </w:p>
        </w:tc>
        <w:tc>
          <w:tcPr>
            <w:tcW w:w="2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Пенсионные фонды – НКО</w:t>
            </w:r>
          </w:p>
        </w:tc>
        <w:tc>
          <w:tcPr>
            <w:tcW w:w="8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1.2.9.0.1=1.2.9.1.1+1.2.9.2.1+1.2.9.3.1</w:t>
            </w:r>
          </w:p>
        </w:tc>
      </w:tr>
      <w:tr>
        <w:trPr>
          <w:trHeight w:val="30" w:hRule="atLeast"/>
        </w:trPr>
        <w:tc>
          <w:tcPr>
            <w:tcW w:w="2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1.2.9.0.2</w:t>
            </w:r>
          </w:p>
        </w:tc>
        <w:tc>
          <w:tcPr>
            <w:tcW w:w="2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Пенсионные фонды – ОПП</w:t>
            </w:r>
          </w:p>
        </w:tc>
        <w:tc>
          <w:tcPr>
            <w:tcW w:w="8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1.2.9.0.2=1.2.9.1.2+1.2.9.2.2+1.2.9.3.2</w:t>
            </w:r>
          </w:p>
        </w:tc>
      </w:tr>
      <w:tr>
        <w:trPr>
          <w:trHeight w:val="30" w:hRule="atLeast"/>
        </w:trPr>
        <w:tc>
          <w:tcPr>
            <w:tcW w:w="2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2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Органы государственного управления (кроме фонда государственного социального обеспечения и НКО сектора государственного управления)</w:t>
            </w:r>
          </w:p>
        </w:tc>
        <w:tc>
          <w:tcPr>
            <w:tcW w:w="8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1.3.0.1=1.3.1.1+1.3.2.1+1.3.3.1</w:t>
            </w:r>
          </w:p>
        </w:tc>
      </w:tr>
      <w:tr>
        <w:trPr>
          <w:trHeight w:val="30" w:hRule="atLeast"/>
        </w:trPr>
        <w:tc>
          <w:tcPr>
            <w:tcW w:w="29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2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Нерыночные НКО, контролируемые органами государственного управления</w:t>
            </w:r>
          </w:p>
        </w:tc>
        <w:tc>
          <w:tcPr>
            <w:tcW w:w="8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1.3.0.2=1.3.1.2+1.3.2.2+1.3.3.2</w:t>
            </w:r>
          </w:p>
        </w:tc>
      </w:tr>
    </w:tbl>
    <w:bookmarkStart w:name="z20" w:id="9"/>
    <w:p>
      <w:pPr>
        <w:spacing w:after="0"/>
        <w:ind w:left="0"/>
        <w:jc w:val="both"/>
      </w:pPr>
      <w:r>
        <w:rPr>
          <w:rFonts w:ascii="Times New Roman"/>
          <w:b w:val="false"/>
          <w:i w:val="false"/>
          <w:color w:val="000000"/>
          <w:sz w:val="28"/>
        </w:rPr>
        <w:t xml:space="preserve">
ПРИЛОЖЕНИЕ № 3        </w:t>
      </w:r>
    </w:p>
    <w:bookmarkEnd w:id="9"/>
    <w:p>
      <w:pPr>
        <w:spacing w:after="0"/>
        <w:ind w:left="0"/>
        <w:jc w:val="both"/>
      </w:pPr>
      <w:r>
        <w:rPr>
          <w:rFonts w:ascii="Times New Roman"/>
          <w:b w:val="false"/>
          <w:i w:val="false"/>
          <w:color w:val="000000"/>
          <w:sz w:val="28"/>
        </w:rPr>
        <w:t>к классификации институциональных</w:t>
      </w:r>
      <w:r>
        <w:br/>
      </w:r>
      <w:r>
        <w:rPr>
          <w:rFonts w:ascii="Times New Roman"/>
          <w:b w:val="false"/>
          <w:i w:val="false"/>
          <w:color w:val="000000"/>
          <w:sz w:val="28"/>
        </w:rPr>
        <w:t xml:space="preserve">
секторов экономики     </w:t>
      </w:r>
    </w:p>
    <w:bookmarkStart w:name="z21" w:id="10"/>
    <w:p>
      <w:pPr>
        <w:spacing w:after="0"/>
        <w:ind w:left="0"/>
        <w:jc w:val="left"/>
      </w:pPr>
      <w:r>
        <w:rPr>
          <w:rFonts w:ascii="Times New Roman"/>
          <w:b/>
          <w:i w:val="false"/>
          <w:color w:val="000000"/>
        </w:rPr>
        <w:t xml:space="preserve"> 
МЕТОДОЛОГИЧЕСКИЕ ПОЯСНЕНИЯ</w:t>
      </w:r>
      <w:r>
        <w:br/>
      </w:r>
      <w:r>
        <w:rPr>
          <w:rFonts w:ascii="Times New Roman"/>
          <w:b/>
          <w:i w:val="false"/>
          <w:color w:val="000000"/>
        </w:rPr>
        <w:t>
по отнесению институциональных единиц к секторам экономики</w:t>
      </w:r>
    </w:p>
    <w:bookmarkEnd w:id="10"/>
    <w:bookmarkStart w:name="z22" w:id="11"/>
    <w:p>
      <w:pPr>
        <w:spacing w:after="0"/>
        <w:ind w:left="0"/>
        <w:jc w:val="left"/>
      </w:pPr>
      <w:r>
        <w:rPr>
          <w:rFonts w:ascii="Times New Roman"/>
          <w:b/>
          <w:i w:val="false"/>
          <w:color w:val="000000"/>
        </w:rPr>
        <w:t xml:space="preserve"> 
I. Экономика в целом</w:t>
      </w:r>
    </w:p>
    <w:bookmarkEnd w:id="11"/>
    <w:bookmarkStart w:name="z23" w:id="12"/>
    <w:p>
      <w:pPr>
        <w:spacing w:after="0"/>
        <w:ind w:left="0"/>
        <w:jc w:val="both"/>
      </w:pPr>
      <w:r>
        <w:rPr>
          <w:rFonts w:ascii="Times New Roman"/>
          <w:b w:val="false"/>
          <w:i w:val="false"/>
          <w:color w:val="000000"/>
          <w:sz w:val="28"/>
        </w:rPr>
        <w:t>
      1. Резидентские институциональные единицы, составляющие в совокупности экономику государства – члена Евразийского экономического союза (далее – государства-члена), группируются в 5 взаимно исключающих друг друга институциональных секторов:</w:t>
      </w:r>
      <w:r>
        <w:br/>
      </w:r>
      <w:r>
        <w:rPr>
          <w:rFonts w:ascii="Times New Roman"/>
          <w:b w:val="false"/>
          <w:i w:val="false"/>
          <w:color w:val="000000"/>
          <w:sz w:val="28"/>
        </w:rPr>
        <w:t>
      а) нефинансовые корпорации;</w:t>
      </w:r>
      <w:r>
        <w:br/>
      </w:r>
      <w:r>
        <w:rPr>
          <w:rFonts w:ascii="Times New Roman"/>
          <w:b w:val="false"/>
          <w:i w:val="false"/>
          <w:color w:val="000000"/>
          <w:sz w:val="28"/>
        </w:rPr>
        <w:t>
      б) финансовые корпорации;</w:t>
      </w:r>
      <w:r>
        <w:br/>
      </w:r>
      <w:r>
        <w:rPr>
          <w:rFonts w:ascii="Times New Roman"/>
          <w:b w:val="false"/>
          <w:i w:val="false"/>
          <w:color w:val="000000"/>
          <w:sz w:val="28"/>
        </w:rPr>
        <w:t>
      в) государственное управление;</w:t>
      </w:r>
      <w:r>
        <w:br/>
      </w:r>
      <w:r>
        <w:rPr>
          <w:rFonts w:ascii="Times New Roman"/>
          <w:b w:val="false"/>
          <w:i w:val="false"/>
          <w:color w:val="000000"/>
          <w:sz w:val="28"/>
        </w:rPr>
        <w:t>
      г) домашние хозяйства;</w:t>
      </w:r>
      <w:r>
        <w:br/>
      </w:r>
      <w:r>
        <w:rPr>
          <w:rFonts w:ascii="Times New Roman"/>
          <w:b w:val="false"/>
          <w:i w:val="false"/>
          <w:color w:val="000000"/>
          <w:sz w:val="28"/>
        </w:rPr>
        <w:t>
      д) некоммерческие организации, обслуживающие домашние хозяйства.</w:t>
      </w:r>
      <w:r>
        <w:br/>
      </w:r>
      <w:r>
        <w:rPr>
          <w:rFonts w:ascii="Times New Roman"/>
          <w:b w:val="false"/>
          <w:i w:val="false"/>
          <w:color w:val="000000"/>
          <w:sz w:val="28"/>
        </w:rPr>
        <w:t>
</w:t>
      </w:r>
      <w:r>
        <w:rPr>
          <w:rFonts w:ascii="Times New Roman"/>
          <w:b w:val="false"/>
          <w:i w:val="false"/>
          <w:color w:val="000000"/>
          <w:sz w:val="28"/>
        </w:rPr>
        <w:t>
      2. Группировка институциональных единиц по секторам осуществляется в соответствии с их функциональным назначением:</w:t>
      </w:r>
      <w:r>
        <w:br/>
      </w:r>
      <w:r>
        <w:rPr>
          <w:rFonts w:ascii="Times New Roman"/>
          <w:b w:val="false"/>
          <w:i w:val="false"/>
          <w:color w:val="000000"/>
          <w:sz w:val="28"/>
        </w:rPr>
        <w:t>
      производство товаров и услуг;</w:t>
      </w:r>
      <w:r>
        <w:br/>
      </w:r>
      <w:r>
        <w:rPr>
          <w:rFonts w:ascii="Times New Roman"/>
          <w:b w:val="false"/>
          <w:i w:val="false"/>
          <w:color w:val="000000"/>
          <w:sz w:val="28"/>
        </w:rPr>
        <w:t>
      потребление, удовлетворяющее желания и потребности человека;</w:t>
      </w:r>
      <w:r>
        <w:br/>
      </w:r>
      <w:r>
        <w:rPr>
          <w:rFonts w:ascii="Times New Roman"/>
          <w:b w:val="false"/>
          <w:i w:val="false"/>
          <w:color w:val="000000"/>
          <w:sz w:val="28"/>
        </w:rPr>
        <w:t xml:space="preserve">
      накопление в различных формах капитала. </w:t>
      </w:r>
      <w:r>
        <w:br/>
      </w:r>
      <w:r>
        <w:rPr>
          <w:rFonts w:ascii="Times New Roman"/>
          <w:b w:val="false"/>
          <w:i w:val="false"/>
          <w:color w:val="000000"/>
          <w:sz w:val="28"/>
        </w:rPr>
        <w:t>
</w:t>
      </w:r>
      <w:r>
        <w:rPr>
          <w:rFonts w:ascii="Times New Roman"/>
          <w:b w:val="false"/>
          <w:i w:val="false"/>
          <w:color w:val="000000"/>
          <w:sz w:val="28"/>
        </w:rPr>
        <w:t>
      3. Корпорации заняты либо производством, либо накоплением (либо и тем, и другим), но не конечным потреблением. Органы государственного управления заняты производством (но другого типа по сравнению с корпорациями), накоплением и конечным потреблением от имени населения и общества в целом. Все домашние хозяйства осуществляют потребление и могут быть также заняты производством и накоплением. Некоммерческие организации многообразны по своим характеристикам. Поведение некоторых из них аналогично поведению корпораций, другие практически являются частью органов государственного управления, а третьи занимаются видами деятельности, которые аналогичны видам деятельности органов государственного управления, но функционируют независимо от них.</w:t>
      </w:r>
      <w:r>
        <w:br/>
      </w:r>
      <w:r>
        <w:rPr>
          <w:rFonts w:ascii="Times New Roman"/>
          <w:b w:val="false"/>
          <w:i w:val="false"/>
          <w:color w:val="000000"/>
          <w:sz w:val="28"/>
        </w:rPr>
        <w:t>
</w:t>
      </w:r>
      <w:r>
        <w:rPr>
          <w:rFonts w:ascii="Times New Roman"/>
          <w:b w:val="false"/>
          <w:i w:val="false"/>
          <w:color w:val="000000"/>
          <w:sz w:val="28"/>
        </w:rPr>
        <w:t>
      4. Общепринятый подход к разделению секторов, указанных в подпунктах «а» и «б» </w:t>
      </w:r>
      <w:r>
        <w:rPr>
          <w:rFonts w:ascii="Times New Roman"/>
          <w:b w:val="false"/>
          <w:i w:val="false"/>
          <w:color w:val="000000"/>
          <w:sz w:val="28"/>
        </w:rPr>
        <w:t>пункта 1</w:t>
      </w:r>
      <w:r>
        <w:rPr>
          <w:rFonts w:ascii="Times New Roman"/>
          <w:b w:val="false"/>
          <w:i w:val="false"/>
          <w:color w:val="000000"/>
          <w:sz w:val="28"/>
        </w:rPr>
        <w:t xml:space="preserve"> настоящих Методологических пояснений, на подсекторы основан на критерии контроля и состоит в идентификации тех нефинансовых и финансовых корпораций, которые контролируются правительством, то есть государственных корпораций, и тех, которые контролируются из-за рубежа, то есть корпораций под иностранным контролем. Остальные корпорации являются национальными частными корпорациями.</w:t>
      </w:r>
      <w:r>
        <w:br/>
      </w:r>
      <w:r>
        <w:rPr>
          <w:rFonts w:ascii="Times New Roman"/>
          <w:b w:val="false"/>
          <w:i w:val="false"/>
          <w:color w:val="000000"/>
          <w:sz w:val="28"/>
        </w:rPr>
        <w:t>
</w:t>
      </w:r>
      <w:r>
        <w:rPr>
          <w:rFonts w:ascii="Times New Roman"/>
          <w:b w:val="false"/>
          <w:i w:val="false"/>
          <w:color w:val="000000"/>
          <w:sz w:val="28"/>
        </w:rPr>
        <w:t>
      5. Корпорация является государственной корпорацией, если ее контролирует государственное учреждение, другая государственная корпорация или какое-либо объединение государственных учреждений и государственных корпораций, причем контроль рассматривается как возможность определять общую корпоративную политику корпорации. Выражение «общая корпоративная политика» понимается в широком смысле и означает ключевую финансовую и оперативную политику, относящуюся к стратегическим целям корпорации как рыночного производителя.</w:t>
      </w:r>
      <w:r>
        <w:br/>
      </w:r>
      <w:r>
        <w:rPr>
          <w:rFonts w:ascii="Times New Roman"/>
          <w:b w:val="false"/>
          <w:i w:val="false"/>
          <w:color w:val="000000"/>
          <w:sz w:val="28"/>
        </w:rPr>
        <w:t>
</w:t>
      </w:r>
      <w:r>
        <w:rPr>
          <w:rFonts w:ascii="Times New Roman"/>
          <w:b w:val="false"/>
          <w:i w:val="false"/>
          <w:color w:val="000000"/>
          <w:sz w:val="28"/>
        </w:rPr>
        <w:t>
      6. Нерезидентская единица контролирует резидентскую корпорацию, если нерезидентская единица владеет более 50 процентами акционерного капитала корпорации. Однако контроль возможен и в том случае, если доля нерезидентской единицы в акционерном капитале корпорации меньше 50 процентов, но при этом нерезидентская единица может осуществлять контроль методами, описанными в пунктах 4.77 – 4.80 СНС-2008 (методы контроля со стороны правительства, например, с помощью контроля над советом директоров или другим управляющим органом, контроля за назначениями и отзывами ключевых руководителей, контроля над ключевыми комитетами корпораций и т. д.).</w:t>
      </w:r>
      <w:r>
        <w:br/>
      </w:r>
      <w:r>
        <w:rPr>
          <w:rFonts w:ascii="Times New Roman"/>
          <w:b w:val="false"/>
          <w:i w:val="false"/>
          <w:color w:val="000000"/>
          <w:sz w:val="28"/>
        </w:rPr>
        <w:t>
</w:t>
      </w:r>
      <w:r>
        <w:rPr>
          <w:rFonts w:ascii="Times New Roman"/>
          <w:b w:val="false"/>
          <w:i w:val="false"/>
          <w:color w:val="000000"/>
          <w:sz w:val="28"/>
        </w:rPr>
        <w:t>
      7. Некоторые из подсекторов целесообразно (если это возможно и отвечает задачам национальной статистики) детализировать дополнительно, применяя критерий обособления некоммерческих организаций от других единиц сектора, на такие категории, как:</w:t>
      </w:r>
      <w:r>
        <w:br/>
      </w:r>
      <w:r>
        <w:rPr>
          <w:rFonts w:ascii="Times New Roman"/>
          <w:b w:val="false"/>
          <w:i w:val="false"/>
          <w:color w:val="000000"/>
          <w:sz w:val="28"/>
        </w:rPr>
        <w:t>
      некоммерческие организации;</w:t>
      </w:r>
      <w:r>
        <w:br/>
      </w:r>
      <w:r>
        <w:rPr>
          <w:rFonts w:ascii="Times New Roman"/>
          <w:b w:val="false"/>
          <w:i w:val="false"/>
          <w:color w:val="000000"/>
          <w:sz w:val="28"/>
        </w:rPr>
        <w:t>
      организации, ориентированные на получение прибыли.</w:t>
      </w:r>
      <w:r>
        <w:br/>
      </w:r>
      <w:r>
        <w:rPr>
          <w:rFonts w:ascii="Times New Roman"/>
          <w:b w:val="false"/>
          <w:i w:val="false"/>
          <w:color w:val="000000"/>
          <w:sz w:val="28"/>
        </w:rPr>
        <w:t>
      Указанные категории единиц могут группироваться в составе перечня классификатора КИСЭ и (или) альтернативных группировок КИСЭ.</w:t>
      </w:r>
      <w:r>
        <w:br/>
      </w:r>
      <w:r>
        <w:rPr>
          <w:rFonts w:ascii="Times New Roman"/>
          <w:b w:val="false"/>
          <w:i w:val="false"/>
          <w:color w:val="000000"/>
          <w:sz w:val="28"/>
        </w:rPr>
        <w:t>
</w:t>
      </w:r>
      <w:r>
        <w:rPr>
          <w:rFonts w:ascii="Times New Roman"/>
          <w:b w:val="false"/>
          <w:i w:val="false"/>
          <w:color w:val="000000"/>
          <w:sz w:val="28"/>
        </w:rPr>
        <w:t>
      8. Сектор «Нефинансовые корпорации» включает в себя все резидентские нефинансовые корпорации. Кроме того, этот сектор включает некоммерческие организации, занятые рыночным производством товаров и услуг (например, больницы, школы или колледжи, которые взимают плату, позволяющую покрывать текущие расходы), или ассоциации предпринимателей, финансирующие свои расходы за счет взносов по подписке от нефинансовых корпораций или некорпорированных предприятий. Роль ассоциаций предпринимателей состоит в том, чтобы продвигать или обслуживать интересы нефинансовых корпораций или некорпорированных предприятий.</w:t>
      </w:r>
      <w:r>
        <w:br/>
      </w:r>
      <w:r>
        <w:rPr>
          <w:rFonts w:ascii="Times New Roman"/>
          <w:b w:val="false"/>
          <w:i w:val="false"/>
          <w:color w:val="000000"/>
          <w:sz w:val="28"/>
        </w:rPr>
        <w:t>
</w:t>
      </w:r>
      <w:r>
        <w:rPr>
          <w:rFonts w:ascii="Times New Roman"/>
          <w:b w:val="false"/>
          <w:i w:val="false"/>
          <w:color w:val="000000"/>
          <w:sz w:val="28"/>
        </w:rPr>
        <w:t>
      9. Для определения подсекторов сектора «Нефинансовые корпорации» используются 2 критерия классификации. Первый критерий касается обособления некоммерческих организаций от других единиц сектора. Единицы, отличные от некоммерческих организаций, могут быть описаны как организации, ориентированные на получение прибыли.</w:t>
      </w:r>
      <w:r>
        <w:br/>
      </w:r>
      <w:r>
        <w:rPr>
          <w:rFonts w:ascii="Times New Roman"/>
          <w:b w:val="false"/>
          <w:i w:val="false"/>
          <w:color w:val="000000"/>
          <w:sz w:val="28"/>
        </w:rPr>
        <w:t>
      Второй критерий касается контроля, он позволяет идентифицировать:</w:t>
      </w:r>
      <w:r>
        <w:br/>
      </w:r>
      <w:r>
        <w:rPr>
          <w:rFonts w:ascii="Times New Roman"/>
          <w:b w:val="false"/>
          <w:i w:val="false"/>
          <w:color w:val="000000"/>
          <w:sz w:val="28"/>
        </w:rPr>
        <w:t>
      государственные нефинансовые корпорации;</w:t>
      </w:r>
      <w:r>
        <w:br/>
      </w:r>
      <w:r>
        <w:rPr>
          <w:rFonts w:ascii="Times New Roman"/>
          <w:b w:val="false"/>
          <w:i w:val="false"/>
          <w:color w:val="000000"/>
          <w:sz w:val="28"/>
        </w:rPr>
        <w:t>
      национальные частные нефинансовые корпорации;</w:t>
      </w:r>
      <w:r>
        <w:br/>
      </w:r>
      <w:r>
        <w:rPr>
          <w:rFonts w:ascii="Times New Roman"/>
          <w:b w:val="false"/>
          <w:i w:val="false"/>
          <w:color w:val="000000"/>
          <w:sz w:val="28"/>
        </w:rPr>
        <w:t>
      нефинансовые корпорации под иностранным контролем.</w:t>
      </w:r>
      <w:r>
        <w:br/>
      </w:r>
      <w:r>
        <w:rPr>
          <w:rFonts w:ascii="Times New Roman"/>
          <w:b w:val="false"/>
          <w:i w:val="false"/>
          <w:color w:val="000000"/>
          <w:sz w:val="28"/>
        </w:rPr>
        <w:t>
</w:t>
      </w:r>
      <w:r>
        <w:rPr>
          <w:rFonts w:ascii="Times New Roman"/>
          <w:b w:val="false"/>
          <w:i w:val="false"/>
          <w:color w:val="000000"/>
          <w:sz w:val="28"/>
        </w:rPr>
        <w:t>
      10. Сектор «Финансовые корпорации» включает в себя все резидентские корпорации, основная деятельность которых состоит в предоставлении финансовых услуг, включая услуги финансового посредничества, услуги страхования и услуги пенсионного обеспечения, а также единицы, осуществляющие виды деятельности, которые содействуют финансовому посредничеству. Кроме того, этот сектор включает некоммерческие организации, занятые рыночным производством услуг финансового характера, которые финансируются за счет взносов по подписке от финансовых предприятий и роль которых состоит в продвижении и обслуживании интересов этих предприятий.</w:t>
      </w:r>
      <w:r>
        <w:br/>
      </w:r>
      <w:r>
        <w:rPr>
          <w:rFonts w:ascii="Times New Roman"/>
          <w:b w:val="false"/>
          <w:i w:val="false"/>
          <w:color w:val="000000"/>
          <w:sz w:val="28"/>
        </w:rPr>
        <w:t>
</w:t>
      </w:r>
      <w:r>
        <w:rPr>
          <w:rFonts w:ascii="Times New Roman"/>
          <w:b w:val="false"/>
          <w:i w:val="false"/>
          <w:color w:val="000000"/>
          <w:sz w:val="28"/>
        </w:rPr>
        <w:t>
      11. Подсекторы сектора «Финансовые корпорации» включают в себя:</w:t>
      </w:r>
      <w:r>
        <w:br/>
      </w:r>
      <w:r>
        <w:rPr>
          <w:rFonts w:ascii="Times New Roman"/>
          <w:b w:val="false"/>
          <w:i w:val="false"/>
          <w:color w:val="000000"/>
          <w:sz w:val="28"/>
        </w:rPr>
        <w:t>
      а) национальный (центральный) банк;</w:t>
      </w:r>
      <w:r>
        <w:br/>
      </w:r>
      <w:r>
        <w:rPr>
          <w:rFonts w:ascii="Times New Roman"/>
          <w:b w:val="false"/>
          <w:i w:val="false"/>
          <w:color w:val="000000"/>
          <w:sz w:val="28"/>
        </w:rPr>
        <w:t>
      б) корпорации, принимающие депозиты, кроме национального (центрального) банка;</w:t>
      </w:r>
      <w:r>
        <w:br/>
      </w:r>
      <w:r>
        <w:rPr>
          <w:rFonts w:ascii="Times New Roman"/>
          <w:b w:val="false"/>
          <w:i w:val="false"/>
          <w:color w:val="000000"/>
          <w:sz w:val="28"/>
        </w:rPr>
        <w:t>
      в) фонды денежного рынка;</w:t>
      </w:r>
      <w:r>
        <w:br/>
      </w:r>
      <w:r>
        <w:rPr>
          <w:rFonts w:ascii="Times New Roman"/>
          <w:b w:val="false"/>
          <w:i w:val="false"/>
          <w:color w:val="000000"/>
          <w:sz w:val="28"/>
        </w:rPr>
        <w:t>
      г) инвестиционные фонды неденежного рынка;</w:t>
      </w:r>
      <w:r>
        <w:br/>
      </w:r>
      <w:r>
        <w:rPr>
          <w:rFonts w:ascii="Times New Roman"/>
          <w:b w:val="false"/>
          <w:i w:val="false"/>
          <w:color w:val="000000"/>
          <w:sz w:val="28"/>
        </w:rPr>
        <w:t>
      д) других финансовых посредников, кроме страховых корпораций и пенсионных фондов;</w:t>
      </w:r>
      <w:r>
        <w:br/>
      </w:r>
      <w:r>
        <w:rPr>
          <w:rFonts w:ascii="Times New Roman"/>
          <w:b w:val="false"/>
          <w:i w:val="false"/>
          <w:color w:val="000000"/>
          <w:sz w:val="28"/>
        </w:rPr>
        <w:t>
      е) вспомогательные финансовые корпорации;</w:t>
      </w:r>
      <w:r>
        <w:br/>
      </w:r>
      <w:r>
        <w:rPr>
          <w:rFonts w:ascii="Times New Roman"/>
          <w:b w:val="false"/>
          <w:i w:val="false"/>
          <w:color w:val="000000"/>
          <w:sz w:val="28"/>
        </w:rPr>
        <w:t>
      ж) кэптивные финансовые учреждения и ростовщиков;</w:t>
      </w:r>
      <w:r>
        <w:br/>
      </w:r>
      <w:r>
        <w:rPr>
          <w:rFonts w:ascii="Times New Roman"/>
          <w:b w:val="false"/>
          <w:i w:val="false"/>
          <w:color w:val="000000"/>
          <w:sz w:val="28"/>
        </w:rPr>
        <w:t>
      з) страховые корпорации;</w:t>
      </w:r>
      <w:r>
        <w:br/>
      </w:r>
      <w:r>
        <w:rPr>
          <w:rFonts w:ascii="Times New Roman"/>
          <w:b w:val="false"/>
          <w:i w:val="false"/>
          <w:color w:val="000000"/>
          <w:sz w:val="28"/>
        </w:rPr>
        <w:t xml:space="preserve">
      и) пенсионные фонды. </w:t>
      </w:r>
      <w:r>
        <w:br/>
      </w:r>
      <w:r>
        <w:rPr>
          <w:rFonts w:ascii="Times New Roman"/>
          <w:b w:val="false"/>
          <w:i w:val="false"/>
          <w:color w:val="000000"/>
          <w:sz w:val="28"/>
        </w:rPr>
        <w:t>
</w:t>
      </w:r>
      <w:r>
        <w:rPr>
          <w:rFonts w:ascii="Times New Roman"/>
          <w:b w:val="false"/>
          <w:i w:val="false"/>
          <w:color w:val="000000"/>
          <w:sz w:val="28"/>
        </w:rPr>
        <w:t xml:space="preserve">
      12. Подсектор «Национальный (центральный) банк» включает в себя: </w:t>
      </w:r>
      <w:r>
        <w:br/>
      </w:r>
      <w:r>
        <w:rPr>
          <w:rFonts w:ascii="Times New Roman"/>
          <w:b w:val="false"/>
          <w:i w:val="false"/>
          <w:color w:val="000000"/>
          <w:sz w:val="28"/>
        </w:rPr>
        <w:t>
      а) национальный (центральный) банк, включая случаи, когда он является частью системы национальных (центральных) банков;</w:t>
      </w:r>
      <w:r>
        <w:br/>
      </w:r>
      <w:r>
        <w:rPr>
          <w:rFonts w:ascii="Times New Roman"/>
          <w:b w:val="false"/>
          <w:i w:val="false"/>
          <w:color w:val="000000"/>
          <w:sz w:val="28"/>
        </w:rPr>
        <w:t>
      б) валютные советы или независимые валютные органы, осуществляющие эмиссию национальной валюты, которая полностью подкреплена резервами иностранной валюты;</w:t>
      </w:r>
      <w:r>
        <w:br/>
      </w:r>
      <w:r>
        <w:rPr>
          <w:rFonts w:ascii="Times New Roman"/>
          <w:b w:val="false"/>
          <w:i w:val="false"/>
          <w:color w:val="000000"/>
          <w:sz w:val="28"/>
        </w:rPr>
        <w:t xml:space="preserve">
      в) центральные денежные агентства, в основном государственного характера (например, агентства, управляющие иностранной валютой или выпускающие банкноты и монеты), которые составляют полный набор счетов, но не рассматриваются как часть центрального правительства. </w:t>
      </w:r>
      <w:r>
        <w:br/>
      </w:r>
      <w:r>
        <w:rPr>
          <w:rFonts w:ascii="Times New Roman"/>
          <w:b w:val="false"/>
          <w:i w:val="false"/>
          <w:color w:val="000000"/>
          <w:sz w:val="28"/>
        </w:rPr>
        <w:t>
      Органы, осуществляющие надзор и являющиеся отдельными институциональными единицами, относятся не к подсектору национального (центрального) банка, а к подсектору вспомогательных финансовых корпораций.</w:t>
      </w:r>
      <w:r>
        <w:br/>
      </w:r>
      <w:r>
        <w:rPr>
          <w:rFonts w:ascii="Times New Roman"/>
          <w:b w:val="false"/>
          <w:i w:val="false"/>
          <w:color w:val="000000"/>
          <w:sz w:val="28"/>
        </w:rPr>
        <w:t>
</w:t>
      </w:r>
      <w:r>
        <w:rPr>
          <w:rFonts w:ascii="Times New Roman"/>
          <w:b w:val="false"/>
          <w:i w:val="false"/>
          <w:color w:val="000000"/>
          <w:sz w:val="28"/>
        </w:rPr>
        <w:t>
      13. Подсектор «Корпорации, принимающие депозиты, кроме национального (центрального) банка» включает в себя:</w:t>
      </w:r>
      <w:r>
        <w:br/>
      </w:r>
      <w:r>
        <w:rPr>
          <w:rFonts w:ascii="Times New Roman"/>
          <w:b w:val="false"/>
          <w:i w:val="false"/>
          <w:color w:val="000000"/>
          <w:sz w:val="28"/>
        </w:rPr>
        <w:t>
      а) коммерческие банки, универсальные банки, многоцелевые банки;</w:t>
      </w:r>
      <w:r>
        <w:br/>
      </w:r>
      <w:r>
        <w:rPr>
          <w:rFonts w:ascii="Times New Roman"/>
          <w:b w:val="false"/>
          <w:i w:val="false"/>
          <w:color w:val="000000"/>
          <w:sz w:val="28"/>
        </w:rPr>
        <w:t>
      б) сберегательные банки (включая попечительные сберегательные банки и сберегательные и ссудные ассоциации);</w:t>
      </w:r>
      <w:r>
        <w:br/>
      </w:r>
      <w:r>
        <w:rPr>
          <w:rFonts w:ascii="Times New Roman"/>
          <w:b w:val="false"/>
          <w:i w:val="false"/>
          <w:color w:val="000000"/>
          <w:sz w:val="28"/>
        </w:rPr>
        <w:t>
      в) почтовые жироучреждения, почтовые банки, жиробанки;</w:t>
      </w:r>
      <w:r>
        <w:br/>
      </w:r>
      <w:r>
        <w:rPr>
          <w:rFonts w:ascii="Times New Roman"/>
          <w:b w:val="false"/>
          <w:i w:val="false"/>
          <w:color w:val="000000"/>
          <w:sz w:val="28"/>
        </w:rPr>
        <w:t>
      г) сельские кредитные банки, сельскохозяйственные кредитные банки;</w:t>
      </w:r>
      <w:r>
        <w:br/>
      </w:r>
      <w:r>
        <w:rPr>
          <w:rFonts w:ascii="Times New Roman"/>
          <w:b w:val="false"/>
          <w:i w:val="false"/>
          <w:color w:val="000000"/>
          <w:sz w:val="28"/>
        </w:rPr>
        <w:t xml:space="preserve">
      д) кооперативные кредитные банки, кредитные союзы; </w:t>
      </w:r>
      <w:r>
        <w:br/>
      </w:r>
      <w:r>
        <w:rPr>
          <w:rFonts w:ascii="Times New Roman"/>
          <w:b w:val="false"/>
          <w:i w:val="false"/>
          <w:color w:val="000000"/>
          <w:sz w:val="28"/>
        </w:rPr>
        <w:t xml:space="preserve">
      е) специализированные банки или другие финансовые корпорации, если они принимают депозиты или выпускают близкие аналоги депозитов. </w:t>
      </w:r>
      <w:r>
        <w:br/>
      </w:r>
      <w:r>
        <w:rPr>
          <w:rFonts w:ascii="Times New Roman"/>
          <w:b w:val="false"/>
          <w:i w:val="false"/>
          <w:color w:val="000000"/>
          <w:sz w:val="28"/>
        </w:rPr>
        <w:t>
</w:t>
      </w:r>
      <w:r>
        <w:rPr>
          <w:rFonts w:ascii="Times New Roman"/>
          <w:b w:val="false"/>
          <w:i w:val="false"/>
          <w:color w:val="000000"/>
          <w:sz w:val="28"/>
        </w:rPr>
        <w:t>
      14. Подсектор «Фонды денежного рынка» включает в себя коллективные инвестиционные программы, которые аккумулируют средства путем продажи акций или паев населению. Полученные средства инвестируются главным образом в инструменты денежного рынка, акции или паи фондов денежного рынка, переводимые долговые инструменты с оставшимися сроками погашения не более одного года, банковские депозиты и инструменты, которые имеют целью получить норму дохода, близкую к процентной ставке инструментов денежного рынка. Ввиду особого характера инструментов денежного рынка их акции или паи могут рассматриваться как близкие аналоги депозитов. Акции и паи фондов денежного рынка могут быть переданы с помощью чеков или прямых платежей третьей стороне.</w:t>
      </w:r>
      <w:r>
        <w:br/>
      </w:r>
      <w:r>
        <w:rPr>
          <w:rFonts w:ascii="Times New Roman"/>
          <w:b w:val="false"/>
          <w:i w:val="false"/>
          <w:color w:val="000000"/>
          <w:sz w:val="28"/>
        </w:rPr>
        <w:t>
</w:t>
      </w:r>
      <w:r>
        <w:rPr>
          <w:rFonts w:ascii="Times New Roman"/>
          <w:b w:val="false"/>
          <w:i w:val="false"/>
          <w:color w:val="000000"/>
          <w:sz w:val="28"/>
        </w:rPr>
        <w:t>
      15. Подсектор «Инвестиционные фонды неденежного рынка» включает в себя коллективные инвестиционные программы, которые привлекают средства населения путем выпуска акций или паев. Полученные средства инвестируются главным образом в финансовые активы, кроме краткосрочных активов, и нефинансовые активы (обычно в недвижимость). Акции или паи инвестиционного фонда обычно не являются близкими аналогами депозитов. Они не могут передаваться с помощью чеков или прямых платежей третьим лицам.</w:t>
      </w:r>
      <w:r>
        <w:br/>
      </w:r>
      <w:r>
        <w:rPr>
          <w:rFonts w:ascii="Times New Roman"/>
          <w:b w:val="false"/>
          <w:i w:val="false"/>
          <w:color w:val="000000"/>
          <w:sz w:val="28"/>
        </w:rPr>
        <w:t>
</w:t>
      </w:r>
      <w:r>
        <w:rPr>
          <w:rFonts w:ascii="Times New Roman"/>
          <w:b w:val="false"/>
          <w:i w:val="false"/>
          <w:color w:val="000000"/>
          <w:sz w:val="28"/>
        </w:rPr>
        <w:t>
      16. Подсектор «Другие финансовые посредники, кроме страховых корпораций и пенсионных фондов» включает в себя:</w:t>
      </w:r>
      <w:r>
        <w:br/>
      </w:r>
      <w:r>
        <w:rPr>
          <w:rFonts w:ascii="Times New Roman"/>
          <w:b w:val="false"/>
          <w:i w:val="false"/>
          <w:color w:val="000000"/>
          <w:sz w:val="28"/>
        </w:rPr>
        <w:t>
      а) финансовые корпорации, занимающиеся трансформацией активов в ценные бумаги;</w:t>
      </w:r>
      <w:r>
        <w:br/>
      </w:r>
      <w:r>
        <w:rPr>
          <w:rFonts w:ascii="Times New Roman"/>
          <w:b w:val="false"/>
          <w:i w:val="false"/>
          <w:color w:val="000000"/>
          <w:sz w:val="28"/>
        </w:rPr>
        <w:t>
      б) дилеров, занимающихся ценными бумагами и производными финансовыми активами (функционирующие за свой счет);</w:t>
      </w:r>
      <w:r>
        <w:br/>
      </w:r>
      <w:r>
        <w:rPr>
          <w:rFonts w:ascii="Times New Roman"/>
          <w:b w:val="false"/>
          <w:i w:val="false"/>
          <w:color w:val="000000"/>
          <w:sz w:val="28"/>
        </w:rPr>
        <w:t>
      в) финансовые корпорации, занимающиеся кредитованием, включая финансовые ассоциации предприятий розничной торговли, которые могут нести ответственность за финансовый лизинг и за личные или коммерческие финансы;</w:t>
      </w:r>
      <w:r>
        <w:br/>
      </w:r>
      <w:r>
        <w:rPr>
          <w:rFonts w:ascii="Times New Roman"/>
          <w:b w:val="false"/>
          <w:i w:val="false"/>
          <w:color w:val="000000"/>
          <w:sz w:val="28"/>
        </w:rPr>
        <w:t>
      г) центральные клиринговые организации партнеров, обеспечивающие клиринг и урегулирование расчетов по операциям с ценными бумагами и производными финансовыми инструментами. Клиринг относится к идентификации обязательств обеих сторон, тогда как урегулирование расчетов представляет собой обмен ценных бумаг или производных финансовых инструментов на соответствующий платеж. Центральные клиринговые организации партнеров участвуют в операции и уменьшают риск партнера;</w:t>
      </w:r>
      <w:r>
        <w:br/>
      </w:r>
      <w:r>
        <w:rPr>
          <w:rFonts w:ascii="Times New Roman"/>
          <w:b w:val="false"/>
          <w:i w:val="false"/>
          <w:color w:val="000000"/>
          <w:sz w:val="28"/>
        </w:rPr>
        <w:t>
      д) специализированные финансовые корпорации, предоставляющие:</w:t>
      </w:r>
      <w:r>
        <w:br/>
      </w:r>
      <w:r>
        <w:rPr>
          <w:rFonts w:ascii="Times New Roman"/>
          <w:b w:val="false"/>
          <w:i w:val="false"/>
          <w:color w:val="000000"/>
          <w:sz w:val="28"/>
        </w:rPr>
        <w:t>
      краткосрочное финансирование для слияний и поглощений корпораций;</w:t>
      </w:r>
      <w:r>
        <w:br/>
      </w:r>
      <w:r>
        <w:rPr>
          <w:rFonts w:ascii="Times New Roman"/>
          <w:b w:val="false"/>
          <w:i w:val="false"/>
          <w:color w:val="000000"/>
          <w:sz w:val="28"/>
        </w:rPr>
        <w:t>
      финансирование экспорта и импорта;</w:t>
      </w:r>
      <w:r>
        <w:br/>
      </w:r>
      <w:r>
        <w:rPr>
          <w:rFonts w:ascii="Times New Roman"/>
          <w:b w:val="false"/>
          <w:i w:val="false"/>
          <w:color w:val="000000"/>
          <w:sz w:val="28"/>
        </w:rPr>
        <w:t xml:space="preserve">
      факторинговые услуги; </w:t>
      </w:r>
      <w:r>
        <w:br/>
      </w:r>
      <w:r>
        <w:rPr>
          <w:rFonts w:ascii="Times New Roman"/>
          <w:b w:val="false"/>
          <w:i w:val="false"/>
          <w:color w:val="000000"/>
          <w:sz w:val="28"/>
        </w:rPr>
        <w:t>
      венчурный капитал и капитал для развития.</w:t>
      </w:r>
      <w:r>
        <w:br/>
      </w:r>
      <w:r>
        <w:rPr>
          <w:rFonts w:ascii="Times New Roman"/>
          <w:b w:val="false"/>
          <w:i w:val="false"/>
          <w:color w:val="000000"/>
          <w:sz w:val="28"/>
        </w:rPr>
        <w:t>
</w:t>
      </w:r>
      <w:r>
        <w:rPr>
          <w:rFonts w:ascii="Times New Roman"/>
          <w:b w:val="false"/>
          <w:i w:val="false"/>
          <w:color w:val="000000"/>
          <w:sz w:val="28"/>
        </w:rPr>
        <w:t>
      17. Подсектор «Вспомогательные финансовые корпорации» включает в себя:</w:t>
      </w:r>
      <w:r>
        <w:br/>
      </w:r>
      <w:r>
        <w:rPr>
          <w:rFonts w:ascii="Times New Roman"/>
          <w:b w:val="false"/>
          <w:i w:val="false"/>
          <w:color w:val="000000"/>
          <w:sz w:val="28"/>
        </w:rPr>
        <w:t>
      а) страховых брокеров, оценщиков ущерба и требований (независимо от того, наняты ли они страховой компанией либо являются независимыми оценщиками или государственными оценщиками, нанятыми держателем полиса), консультантов по вопросам страхования и пенсионного обеспечения;</w:t>
      </w:r>
      <w:r>
        <w:br/>
      </w:r>
      <w:r>
        <w:rPr>
          <w:rFonts w:ascii="Times New Roman"/>
          <w:b w:val="false"/>
          <w:i w:val="false"/>
          <w:color w:val="000000"/>
          <w:sz w:val="28"/>
        </w:rPr>
        <w:t>
      б) брокеров по операциям с ссудами и ценными бумагами, консультантов по вопросам инвестирования и т. д.;</w:t>
      </w:r>
      <w:r>
        <w:br/>
      </w:r>
      <w:r>
        <w:rPr>
          <w:rFonts w:ascii="Times New Roman"/>
          <w:b w:val="false"/>
          <w:i w:val="false"/>
          <w:color w:val="000000"/>
          <w:sz w:val="28"/>
        </w:rPr>
        <w:t>
      в) корпорации, размещающие займы и управляющие выпуском ценных бумаг;</w:t>
      </w:r>
      <w:r>
        <w:br/>
      </w:r>
      <w:r>
        <w:rPr>
          <w:rFonts w:ascii="Times New Roman"/>
          <w:b w:val="false"/>
          <w:i w:val="false"/>
          <w:color w:val="000000"/>
          <w:sz w:val="28"/>
        </w:rPr>
        <w:t>
      г) корпорации, основной функцией которых является гарантирование путем индоссамента векселей или аналогичных инструментов;</w:t>
      </w:r>
      <w:r>
        <w:br/>
      </w:r>
      <w:r>
        <w:rPr>
          <w:rFonts w:ascii="Times New Roman"/>
          <w:b w:val="false"/>
          <w:i w:val="false"/>
          <w:color w:val="000000"/>
          <w:sz w:val="28"/>
        </w:rPr>
        <w:t>
      д) корпорации, занимающиеся такими производными финансовыми инструментами и инструментами хеджирования, как свопы, опционы и фьючерсы (без выпуска);</w:t>
      </w:r>
      <w:r>
        <w:br/>
      </w:r>
      <w:r>
        <w:rPr>
          <w:rFonts w:ascii="Times New Roman"/>
          <w:b w:val="false"/>
          <w:i w:val="false"/>
          <w:color w:val="000000"/>
          <w:sz w:val="28"/>
        </w:rPr>
        <w:t>
      е) корпорации, обеспечивающие инфраструктуру финансовых рынков;</w:t>
      </w:r>
      <w:r>
        <w:br/>
      </w:r>
      <w:r>
        <w:rPr>
          <w:rFonts w:ascii="Times New Roman"/>
          <w:b w:val="false"/>
          <w:i w:val="false"/>
          <w:color w:val="000000"/>
          <w:sz w:val="28"/>
        </w:rPr>
        <w:t>
      ж) управляющих пенсионными фондами, взаимными фондами (но не фонды, которыми они управляют) и т. д.;</w:t>
      </w:r>
      <w:r>
        <w:br/>
      </w:r>
      <w:r>
        <w:rPr>
          <w:rFonts w:ascii="Times New Roman"/>
          <w:b w:val="false"/>
          <w:i w:val="false"/>
          <w:color w:val="000000"/>
          <w:sz w:val="28"/>
        </w:rPr>
        <w:t>
      з) корпорации, предоставляющие услуги фондовой биржи и биржи страхования;</w:t>
      </w:r>
      <w:r>
        <w:br/>
      </w:r>
      <w:r>
        <w:rPr>
          <w:rFonts w:ascii="Times New Roman"/>
          <w:b w:val="false"/>
          <w:i w:val="false"/>
          <w:color w:val="000000"/>
          <w:sz w:val="28"/>
        </w:rPr>
        <w:t>
      и) бюро обмена иностранной валюты;</w:t>
      </w:r>
      <w:r>
        <w:br/>
      </w:r>
      <w:r>
        <w:rPr>
          <w:rFonts w:ascii="Times New Roman"/>
          <w:b w:val="false"/>
          <w:i w:val="false"/>
          <w:color w:val="000000"/>
          <w:sz w:val="28"/>
        </w:rPr>
        <w:t>
      к) некоммерческие организации, признанные как независимые юридические лица, обслуживающие финансовые корпорации;</w:t>
      </w:r>
      <w:r>
        <w:br/>
      </w:r>
      <w:r>
        <w:rPr>
          <w:rFonts w:ascii="Times New Roman"/>
          <w:b w:val="false"/>
          <w:i w:val="false"/>
          <w:color w:val="000000"/>
          <w:sz w:val="28"/>
        </w:rPr>
        <w:t>
      л) головные офисы финансовых корпораций, которые в основном занимаются контролем финансовых корпораций или групп финансовых корпораций, но сами не осуществляют операции финансовых корпораций;</w:t>
      </w:r>
      <w:r>
        <w:br/>
      </w:r>
      <w:r>
        <w:rPr>
          <w:rFonts w:ascii="Times New Roman"/>
          <w:b w:val="false"/>
          <w:i w:val="false"/>
          <w:color w:val="000000"/>
          <w:sz w:val="28"/>
        </w:rPr>
        <w:t xml:space="preserve">
      м) центральные контролирующие органы финансовых посредников и финансовых рынков, если они являются отдельными институциональными единицами. </w:t>
      </w:r>
      <w:r>
        <w:br/>
      </w:r>
      <w:r>
        <w:rPr>
          <w:rFonts w:ascii="Times New Roman"/>
          <w:b w:val="false"/>
          <w:i w:val="false"/>
          <w:color w:val="000000"/>
          <w:sz w:val="28"/>
        </w:rPr>
        <w:t>
</w:t>
      </w:r>
      <w:r>
        <w:rPr>
          <w:rFonts w:ascii="Times New Roman"/>
          <w:b w:val="false"/>
          <w:i w:val="false"/>
          <w:color w:val="000000"/>
          <w:sz w:val="28"/>
        </w:rPr>
        <w:t>
      18. Подсектор «Кэптивные финансовые учреждения и ростовщики» включает в себя:</w:t>
      </w:r>
      <w:r>
        <w:br/>
      </w:r>
      <w:r>
        <w:rPr>
          <w:rFonts w:ascii="Times New Roman"/>
          <w:b w:val="false"/>
          <w:i w:val="false"/>
          <w:color w:val="000000"/>
          <w:sz w:val="28"/>
        </w:rPr>
        <w:t>
      а) единицы, являющиеся юридическими лицами (трасты и др.);</w:t>
      </w:r>
      <w:r>
        <w:br/>
      </w:r>
      <w:r>
        <w:rPr>
          <w:rFonts w:ascii="Times New Roman"/>
          <w:b w:val="false"/>
          <w:i w:val="false"/>
          <w:color w:val="000000"/>
          <w:sz w:val="28"/>
        </w:rPr>
        <w:t>
      б) холдинговые корпорации, являющиеся только владельцами активов (владея контрольным пакетом акционерного капитала) группы дочерних корпораций, основным видом деятельности которых является владение группой единиц без предоставления каких-либо других услуг предприятиям, держателями акционерного капитала которых они являются, то есть они не руководят и не управляют другими единицами;</w:t>
      </w:r>
      <w:r>
        <w:br/>
      </w:r>
      <w:r>
        <w:rPr>
          <w:rFonts w:ascii="Times New Roman"/>
          <w:b w:val="false"/>
          <w:i w:val="false"/>
          <w:color w:val="000000"/>
          <w:sz w:val="28"/>
        </w:rPr>
        <w:t>
      в) единицы специального назначения или каналы передачи средств, являющиеся институциональными единицами и привлекающие средства на открытых рынках для того, чтобы они были использованы материнской корпорацией;</w:t>
      </w:r>
      <w:r>
        <w:br/>
      </w:r>
      <w:r>
        <w:rPr>
          <w:rFonts w:ascii="Times New Roman"/>
          <w:b w:val="false"/>
          <w:i w:val="false"/>
          <w:color w:val="000000"/>
          <w:sz w:val="28"/>
        </w:rPr>
        <w:t>
      г) единицы, предоставляющие финансовые услуги, используя исключительно собственные средства или средства, предоставленные спонсором широкому кругу клиентов, и принимающие финансовый риск дефолта должников. К ним относятся:</w:t>
      </w:r>
      <w:r>
        <w:br/>
      </w:r>
      <w:r>
        <w:rPr>
          <w:rFonts w:ascii="Times New Roman"/>
          <w:b w:val="false"/>
          <w:i w:val="false"/>
          <w:color w:val="000000"/>
          <w:sz w:val="28"/>
        </w:rPr>
        <w:t>
      ростовщики;</w:t>
      </w:r>
      <w:r>
        <w:br/>
      </w:r>
      <w:r>
        <w:rPr>
          <w:rFonts w:ascii="Times New Roman"/>
          <w:b w:val="false"/>
          <w:i w:val="false"/>
          <w:color w:val="000000"/>
          <w:sz w:val="28"/>
        </w:rPr>
        <w:t>
      корпорации, занятые кредитованием (например, предоставлением ссуд студентам, ссуд на экспортно-импортные операции) из средств, полученных от спонсора, например, от органа государственного управления или некоммерческой организации;</w:t>
      </w:r>
      <w:r>
        <w:br/>
      </w:r>
      <w:r>
        <w:rPr>
          <w:rFonts w:ascii="Times New Roman"/>
          <w:b w:val="false"/>
          <w:i w:val="false"/>
          <w:color w:val="000000"/>
          <w:sz w:val="28"/>
        </w:rPr>
        <w:t>
      ломбарды, которые заняты преимущественно кредитованием.</w:t>
      </w:r>
      <w:r>
        <w:br/>
      </w:r>
      <w:r>
        <w:rPr>
          <w:rFonts w:ascii="Times New Roman"/>
          <w:b w:val="false"/>
          <w:i w:val="false"/>
          <w:color w:val="000000"/>
          <w:sz w:val="28"/>
        </w:rPr>
        <w:t>
</w:t>
      </w:r>
      <w:r>
        <w:rPr>
          <w:rFonts w:ascii="Times New Roman"/>
          <w:b w:val="false"/>
          <w:i w:val="false"/>
          <w:color w:val="000000"/>
          <w:sz w:val="28"/>
        </w:rPr>
        <w:t>
      19. Подсектор «Страховые корпорации» включает в себя корпорированные единицы, взаимные фонды и другие единицы, основная функция которых состоит в предоставлении услуг по страхованию жизни, страхованию от несчастных случаев, болезни, пожаров или по другим формам страхования отдельным институциональным единицам или группам единиц или услуг перестрахования другим страховым корпорациям.</w:t>
      </w:r>
      <w:r>
        <w:br/>
      </w:r>
      <w:r>
        <w:rPr>
          <w:rFonts w:ascii="Times New Roman"/>
          <w:b w:val="false"/>
          <w:i w:val="false"/>
          <w:color w:val="000000"/>
          <w:sz w:val="28"/>
        </w:rPr>
        <w:t>
</w:t>
      </w:r>
      <w:r>
        <w:rPr>
          <w:rFonts w:ascii="Times New Roman"/>
          <w:b w:val="false"/>
          <w:i w:val="false"/>
          <w:color w:val="000000"/>
          <w:sz w:val="28"/>
        </w:rPr>
        <w:t>
      20. Подсектор «Пенсионные фонды» включает в себя только те фонды пенсионного социального страхования, которые являются институциональными единицами, отдельными от единиц, которые их создают. Государственный пенсионный фонд относится к сектору «Государственное управление», хотя и выполняет финансовые операции.</w:t>
      </w:r>
      <w:r>
        <w:br/>
      </w:r>
      <w:r>
        <w:rPr>
          <w:rFonts w:ascii="Times New Roman"/>
          <w:b w:val="false"/>
          <w:i w:val="false"/>
          <w:color w:val="000000"/>
          <w:sz w:val="28"/>
        </w:rPr>
        <w:t>
</w:t>
      </w:r>
      <w:r>
        <w:rPr>
          <w:rFonts w:ascii="Times New Roman"/>
          <w:b w:val="false"/>
          <w:i w:val="false"/>
          <w:color w:val="000000"/>
          <w:sz w:val="28"/>
        </w:rPr>
        <w:t>
      21. Сектор «Государственное управление» включает в себя следующие группы резидентских институциональных единиц:</w:t>
      </w:r>
      <w:r>
        <w:br/>
      </w:r>
      <w:r>
        <w:rPr>
          <w:rFonts w:ascii="Times New Roman"/>
          <w:b w:val="false"/>
          <w:i w:val="false"/>
          <w:color w:val="000000"/>
          <w:sz w:val="28"/>
        </w:rPr>
        <w:t>
      все единицы центральных, региональных или местных органов государственного управления;</w:t>
      </w:r>
      <w:r>
        <w:br/>
      </w:r>
      <w:r>
        <w:rPr>
          <w:rFonts w:ascii="Times New Roman"/>
          <w:b w:val="false"/>
          <w:i w:val="false"/>
          <w:color w:val="000000"/>
          <w:sz w:val="28"/>
        </w:rPr>
        <w:t>
      все нерыночные некоммерческие организации, которые контролируются органами государственного управления.</w:t>
      </w:r>
      <w:r>
        <w:br/>
      </w:r>
      <w:r>
        <w:rPr>
          <w:rFonts w:ascii="Times New Roman"/>
          <w:b w:val="false"/>
          <w:i w:val="false"/>
          <w:color w:val="000000"/>
          <w:sz w:val="28"/>
        </w:rPr>
        <w:t>
</w:t>
      </w:r>
      <w:r>
        <w:rPr>
          <w:rFonts w:ascii="Times New Roman"/>
          <w:b w:val="false"/>
          <w:i w:val="false"/>
          <w:color w:val="000000"/>
          <w:sz w:val="28"/>
        </w:rPr>
        <w:t>
      22. Сектор «Государственное управление» также включает в себя фонды социального обеспечения или в качестве отдельных институциональных единиц, или как часть любого или всех вместе – центральных, региональных и местных – органов государственного управления.</w:t>
      </w:r>
      <w:r>
        <w:br/>
      </w:r>
      <w:r>
        <w:rPr>
          <w:rFonts w:ascii="Times New Roman"/>
          <w:b w:val="false"/>
          <w:i w:val="false"/>
          <w:color w:val="000000"/>
          <w:sz w:val="28"/>
        </w:rPr>
        <w:t>
      Сектор «Государственное управление» не включает в себя государственные корпорации, ориентированные на получение прибыли, даже если весь акционерный капитал таких корпораций принадлежит органам государственного управления, а также квазикорпорации, которые являются собственностью органов государственного управления и контролируются ими.</w:t>
      </w:r>
      <w:r>
        <w:br/>
      </w:r>
      <w:r>
        <w:rPr>
          <w:rFonts w:ascii="Times New Roman"/>
          <w:b w:val="false"/>
          <w:i w:val="false"/>
          <w:color w:val="000000"/>
          <w:sz w:val="28"/>
        </w:rPr>
        <w:t>
</w:t>
      </w:r>
      <w:r>
        <w:rPr>
          <w:rFonts w:ascii="Times New Roman"/>
          <w:b w:val="false"/>
          <w:i w:val="false"/>
          <w:color w:val="000000"/>
          <w:sz w:val="28"/>
        </w:rPr>
        <w:t>
      23. Следует различать понятия «сектор «Государственное управление» и «государственный сектор». Государственный сектор не является институциональным сектором и включает в себя сектор государственного управления, государственные нефинансовые корпорации и государственные финансовые корпорации.</w:t>
      </w:r>
      <w:r>
        <w:br/>
      </w:r>
      <w:r>
        <w:rPr>
          <w:rFonts w:ascii="Times New Roman"/>
          <w:b w:val="false"/>
          <w:i w:val="false"/>
          <w:color w:val="000000"/>
          <w:sz w:val="28"/>
        </w:rPr>
        <w:t>
</w:t>
      </w:r>
      <w:r>
        <w:rPr>
          <w:rFonts w:ascii="Times New Roman"/>
          <w:b w:val="false"/>
          <w:i w:val="false"/>
          <w:color w:val="000000"/>
          <w:sz w:val="28"/>
        </w:rPr>
        <w:t>
      24. Разделение сектора «Государственное управление» на подсекторы обеспечивает возможность 2 методами идентифицировать некоммерческие организации и фонды социального обеспечения для каждого уровня государственного управления: центральных, региональных и местных органов управления.</w:t>
      </w:r>
      <w:r>
        <w:br/>
      </w:r>
      <w:r>
        <w:rPr>
          <w:rFonts w:ascii="Times New Roman"/>
          <w:b w:val="false"/>
          <w:i w:val="false"/>
          <w:color w:val="000000"/>
          <w:sz w:val="28"/>
        </w:rPr>
        <w:t>
</w:t>
      </w:r>
      <w:r>
        <w:rPr>
          <w:rFonts w:ascii="Times New Roman"/>
          <w:b w:val="false"/>
          <w:i w:val="false"/>
          <w:color w:val="000000"/>
          <w:sz w:val="28"/>
        </w:rPr>
        <w:t>
      25. Первый метод выделения подсекторов сектора «Государственное управление» позволяет получить следующие подсекторы:</w:t>
      </w:r>
      <w:r>
        <w:br/>
      </w:r>
      <w:r>
        <w:rPr>
          <w:rFonts w:ascii="Times New Roman"/>
          <w:b w:val="false"/>
          <w:i w:val="false"/>
          <w:color w:val="000000"/>
          <w:sz w:val="28"/>
        </w:rPr>
        <w:t>
      а) центральные органы управления (центральное правительство);</w:t>
      </w:r>
      <w:r>
        <w:br/>
      </w:r>
      <w:r>
        <w:rPr>
          <w:rFonts w:ascii="Times New Roman"/>
          <w:b w:val="false"/>
          <w:i w:val="false"/>
          <w:color w:val="000000"/>
          <w:sz w:val="28"/>
        </w:rPr>
        <w:t>
      б) региональные органы управления;</w:t>
      </w:r>
      <w:r>
        <w:br/>
      </w:r>
      <w:r>
        <w:rPr>
          <w:rFonts w:ascii="Times New Roman"/>
          <w:b w:val="false"/>
          <w:i w:val="false"/>
          <w:color w:val="000000"/>
          <w:sz w:val="28"/>
        </w:rPr>
        <w:t>
      в) местные органы управления;</w:t>
      </w:r>
      <w:r>
        <w:br/>
      </w:r>
      <w:r>
        <w:rPr>
          <w:rFonts w:ascii="Times New Roman"/>
          <w:b w:val="false"/>
          <w:i w:val="false"/>
          <w:color w:val="000000"/>
          <w:sz w:val="28"/>
        </w:rPr>
        <w:t>
      г) фонды государственного социального обеспечения.</w:t>
      </w:r>
      <w:r>
        <w:br/>
      </w:r>
      <w:r>
        <w:rPr>
          <w:rFonts w:ascii="Times New Roman"/>
          <w:b w:val="false"/>
          <w:i w:val="false"/>
          <w:color w:val="000000"/>
          <w:sz w:val="28"/>
        </w:rPr>
        <w:t>
</w:t>
      </w:r>
      <w:r>
        <w:rPr>
          <w:rFonts w:ascii="Times New Roman"/>
          <w:b w:val="false"/>
          <w:i w:val="false"/>
          <w:color w:val="000000"/>
          <w:sz w:val="28"/>
        </w:rPr>
        <w:t>
      26. Все фонды социального обеспечения классифицируются вместе в качестве подсектора «Фонды государственного социального обеспечения», в котором предусмотрена группировка по уровням государственного управления.</w:t>
      </w:r>
      <w:r>
        <w:br/>
      </w:r>
      <w:r>
        <w:rPr>
          <w:rFonts w:ascii="Times New Roman"/>
          <w:b w:val="false"/>
          <w:i w:val="false"/>
          <w:color w:val="000000"/>
          <w:sz w:val="28"/>
        </w:rPr>
        <w:t>
</w:t>
      </w:r>
      <w:r>
        <w:rPr>
          <w:rFonts w:ascii="Times New Roman"/>
          <w:b w:val="false"/>
          <w:i w:val="false"/>
          <w:color w:val="000000"/>
          <w:sz w:val="28"/>
        </w:rPr>
        <w:t>
      27. Подсектор «Фонды государственного социального обеспечения» включает в себя фонды социального обеспечения, функционирующие на всех уровнях государственного управления.</w:t>
      </w:r>
      <w:r>
        <w:br/>
      </w:r>
      <w:r>
        <w:rPr>
          <w:rFonts w:ascii="Times New Roman"/>
          <w:b w:val="false"/>
          <w:i w:val="false"/>
          <w:color w:val="000000"/>
          <w:sz w:val="28"/>
        </w:rPr>
        <w:t>
</w:t>
      </w:r>
      <w:r>
        <w:rPr>
          <w:rFonts w:ascii="Times New Roman"/>
          <w:b w:val="false"/>
          <w:i w:val="false"/>
          <w:color w:val="000000"/>
          <w:sz w:val="28"/>
        </w:rPr>
        <w:t>
      28. К фондам социального обеспечения относятся государственные фонды: пенсионный фонд, фонд социального страхования, фонд обязательного медицинского страхования, фонд социальной защиты населения, социальный фонд и т. д.</w:t>
      </w:r>
      <w:r>
        <w:br/>
      </w:r>
      <w:r>
        <w:rPr>
          <w:rFonts w:ascii="Times New Roman"/>
          <w:b w:val="false"/>
          <w:i w:val="false"/>
          <w:color w:val="000000"/>
          <w:sz w:val="28"/>
        </w:rPr>
        <w:t>
</w:t>
      </w:r>
      <w:r>
        <w:rPr>
          <w:rFonts w:ascii="Times New Roman"/>
          <w:b w:val="false"/>
          <w:i w:val="false"/>
          <w:color w:val="000000"/>
          <w:sz w:val="28"/>
        </w:rPr>
        <w:t>
      29. Некоммерческие организации показаны как категория, выделенная «в том числе» для сектора «Государственное управление» в целом или отдельно для центральных, региональных и местных органов управления. При этом понимается, что каждый подсектор, указанный в подпунктах «а», «б» и «в» </w:t>
      </w:r>
      <w:r>
        <w:rPr>
          <w:rFonts w:ascii="Times New Roman"/>
          <w:b w:val="false"/>
          <w:i w:val="false"/>
          <w:color w:val="000000"/>
          <w:sz w:val="28"/>
        </w:rPr>
        <w:t>пункта 25</w:t>
      </w:r>
      <w:r>
        <w:rPr>
          <w:rFonts w:ascii="Times New Roman"/>
          <w:b w:val="false"/>
          <w:i w:val="false"/>
          <w:color w:val="000000"/>
          <w:sz w:val="28"/>
        </w:rPr>
        <w:t xml:space="preserve"> настоящих Методологических пояснений, включает некоммерческие организации, но не включает фонды социального обеспечения на каждом уровне государственного управления.</w:t>
      </w:r>
      <w:r>
        <w:br/>
      </w:r>
      <w:r>
        <w:rPr>
          <w:rFonts w:ascii="Times New Roman"/>
          <w:b w:val="false"/>
          <w:i w:val="false"/>
          <w:color w:val="000000"/>
          <w:sz w:val="28"/>
        </w:rPr>
        <w:t>
</w:t>
      </w:r>
      <w:r>
        <w:rPr>
          <w:rFonts w:ascii="Times New Roman"/>
          <w:b w:val="false"/>
          <w:i w:val="false"/>
          <w:color w:val="000000"/>
          <w:sz w:val="28"/>
        </w:rPr>
        <w:t>
      30. Второй метод выделения подсекторов сектора «Государственное управление» позволяет получить следующие подсекторы:</w:t>
      </w:r>
      <w:r>
        <w:br/>
      </w:r>
      <w:r>
        <w:rPr>
          <w:rFonts w:ascii="Times New Roman"/>
          <w:b w:val="false"/>
          <w:i w:val="false"/>
          <w:color w:val="000000"/>
          <w:sz w:val="28"/>
        </w:rPr>
        <w:t>
      а) центральные органы управления;</w:t>
      </w:r>
      <w:r>
        <w:br/>
      </w:r>
      <w:r>
        <w:rPr>
          <w:rFonts w:ascii="Times New Roman"/>
          <w:b w:val="false"/>
          <w:i w:val="false"/>
          <w:color w:val="000000"/>
          <w:sz w:val="28"/>
        </w:rPr>
        <w:t>
      б) региональные органы управления;</w:t>
      </w:r>
      <w:r>
        <w:br/>
      </w:r>
      <w:r>
        <w:rPr>
          <w:rFonts w:ascii="Times New Roman"/>
          <w:b w:val="false"/>
          <w:i w:val="false"/>
          <w:color w:val="000000"/>
          <w:sz w:val="28"/>
        </w:rPr>
        <w:t>
      в) местные органы управления.</w:t>
      </w:r>
      <w:r>
        <w:br/>
      </w:r>
      <w:r>
        <w:rPr>
          <w:rFonts w:ascii="Times New Roman"/>
          <w:b w:val="false"/>
          <w:i w:val="false"/>
          <w:color w:val="000000"/>
          <w:sz w:val="28"/>
        </w:rPr>
        <w:t>
      При этом понимается, что каждый из указанных в данном пункте подсекторов включает некоммерческие организации и фонды социального обеспечения на каждом уровне государственного управления.</w:t>
      </w:r>
      <w:r>
        <w:br/>
      </w:r>
      <w:r>
        <w:rPr>
          <w:rFonts w:ascii="Times New Roman"/>
          <w:b w:val="false"/>
          <w:i w:val="false"/>
          <w:color w:val="000000"/>
          <w:sz w:val="28"/>
        </w:rPr>
        <w:t>
</w:t>
      </w:r>
      <w:r>
        <w:rPr>
          <w:rFonts w:ascii="Times New Roman"/>
          <w:b w:val="false"/>
          <w:i w:val="false"/>
          <w:color w:val="000000"/>
          <w:sz w:val="28"/>
        </w:rPr>
        <w:t>
      31. При любом методе выделения подсекторов сектора «Государственное управление» некоммерческие организации должны быть выделены как категория «в том числе» для каждого уровня государственного управления.</w:t>
      </w:r>
      <w:r>
        <w:br/>
      </w:r>
      <w:r>
        <w:rPr>
          <w:rFonts w:ascii="Times New Roman"/>
          <w:b w:val="false"/>
          <w:i w:val="false"/>
          <w:color w:val="000000"/>
          <w:sz w:val="28"/>
        </w:rPr>
        <w:t>
</w:t>
      </w:r>
      <w:r>
        <w:rPr>
          <w:rFonts w:ascii="Times New Roman"/>
          <w:b w:val="false"/>
          <w:i w:val="false"/>
          <w:color w:val="000000"/>
          <w:sz w:val="28"/>
        </w:rPr>
        <w:t>
      32. Выбор между двумя методами выделения подсекторов сектора «Государственное управление» зависит главным образом от размера или важности фондов социального обеспечения в данном государстве-члене и от того, каким образом они управляются.</w:t>
      </w:r>
      <w:r>
        <w:br/>
      </w:r>
      <w:r>
        <w:rPr>
          <w:rFonts w:ascii="Times New Roman"/>
          <w:b w:val="false"/>
          <w:i w:val="false"/>
          <w:color w:val="000000"/>
          <w:sz w:val="28"/>
        </w:rPr>
        <w:t>
</w:t>
      </w:r>
      <w:r>
        <w:rPr>
          <w:rFonts w:ascii="Times New Roman"/>
          <w:b w:val="false"/>
          <w:i w:val="false"/>
          <w:color w:val="000000"/>
          <w:sz w:val="28"/>
        </w:rPr>
        <w:t>
      33. В классификаторе КИСЭ представлен первый метод выделения подсекторов сектора «Государственное управление», при котором каждый из подсекторов включает некоммерческие организации, но не включает фонды социального обеспечения.</w:t>
      </w:r>
      <w:r>
        <w:br/>
      </w:r>
      <w:r>
        <w:rPr>
          <w:rFonts w:ascii="Times New Roman"/>
          <w:b w:val="false"/>
          <w:i w:val="false"/>
          <w:color w:val="000000"/>
          <w:sz w:val="28"/>
        </w:rPr>
        <w:t>
</w:t>
      </w:r>
      <w:r>
        <w:rPr>
          <w:rFonts w:ascii="Times New Roman"/>
          <w:b w:val="false"/>
          <w:i w:val="false"/>
          <w:color w:val="000000"/>
          <w:sz w:val="28"/>
        </w:rPr>
        <w:t>
      34. В некоторых государствах-членах могут не существовать промежуточные уровни государственного управления между центральными и местными органами управления, и в этом случае подсектор «Региональные органы управления» не выделяется. В других государствах-членах может быть больше двух уровней государственного управления ниже уровня центральных органов управления. В этом случае нижние уровни должны быть включены в региональные или местные органы управления в соответствии с характером их функций.</w:t>
      </w:r>
      <w:r>
        <w:br/>
      </w:r>
      <w:r>
        <w:rPr>
          <w:rFonts w:ascii="Times New Roman"/>
          <w:b w:val="false"/>
          <w:i w:val="false"/>
          <w:color w:val="000000"/>
          <w:sz w:val="28"/>
        </w:rPr>
        <w:t>
</w:t>
      </w:r>
      <w:r>
        <w:rPr>
          <w:rFonts w:ascii="Times New Roman"/>
          <w:b w:val="false"/>
          <w:i w:val="false"/>
          <w:color w:val="000000"/>
          <w:sz w:val="28"/>
        </w:rPr>
        <w:t>
      35. Сектор «Домашние хозяйства» включает в себя домашние хозяйства, которые могут быть отнесены к подсекторам в соответствии с характером наиболее значительного источника их дохода. Для этой цели следует выделить следующие типы дохода домашних хозяйств:</w:t>
      </w:r>
      <w:r>
        <w:br/>
      </w:r>
      <w:r>
        <w:rPr>
          <w:rFonts w:ascii="Times New Roman"/>
          <w:b w:val="false"/>
          <w:i w:val="false"/>
          <w:color w:val="000000"/>
          <w:sz w:val="28"/>
        </w:rPr>
        <w:t>
      а) доходы, поступающие собственникам некорпорированных предприятий домашних хозяйств с оплачиваемыми работниками (смешанный доход работодателей);</w:t>
      </w:r>
      <w:r>
        <w:br/>
      </w:r>
      <w:r>
        <w:rPr>
          <w:rFonts w:ascii="Times New Roman"/>
          <w:b w:val="false"/>
          <w:i w:val="false"/>
          <w:color w:val="000000"/>
          <w:sz w:val="28"/>
        </w:rPr>
        <w:t>
      б) доходы, поступающие собственникам некорпорированных предприятий домашних хозяйств без оплачиваемых работников (смешанный доход самостоятельно занятых лиц);</w:t>
      </w:r>
      <w:r>
        <w:br/>
      </w:r>
      <w:r>
        <w:rPr>
          <w:rFonts w:ascii="Times New Roman"/>
          <w:b w:val="false"/>
          <w:i w:val="false"/>
          <w:color w:val="000000"/>
          <w:sz w:val="28"/>
        </w:rPr>
        <w:t>
      в) оплата труда лиц, работающих по найму;</w:t>
      </w:r>
      <w:r>
        <w:br/>
      </w:r>
      <w:r>
        <w:rPr>
          <w:rFonts w:ascii="Times New Roman"/>
          <w:b w:val="false"/>
          <w:i w:val="false"/>
          <w:color w:val="000000"/>
          <w:sz w:val="28"/>
        </w:rPr>
        <w:t>
      г) доходы от собственности и трансферты.</w:t>
      </w:r>
      <w:r>
        <w:br/>
      </w:r>
      <w:r>
        <w:rPr>
          <w:rFonts w:ascii="Times New Roman"/>
          <w:b w:val="false"/>
          <w:i w:val="false"/>
          <w:color w:val="000000"/>
          <w:sz w:val="28"/>
        </w:rPr>
        <w:t>
</w:t>
      </w:r>
      <w:r>
        <w:rPr>
          <w:rFonts w:ascii="Times New Roman"/>
          <w:b w:val="false"/>
          <w:i w:val="false"/>
          <w:color w:val="000000"/>
          <w:sz w:val="28"/>
        </w:rPr>
        <w:t>
      36. Домашние хозяйства относятся к подсекторам в соответствии с тем, какая из категорий доходов, указанных в </w:t>
      </w:r>
      <w:r>
        <w:rPr>
          <w:rFonts w:ascii="Times New Roman"/>
          <w:b w:val="false"/>
          <w:i w:val="false"/>
          <w:color w:val="000000"/>
          <w:sz w:val="28"/>
        </w:rPr>
        <w:t>пункте 35</w:t>
      </w:r>
      <w:r>
        <w:rPr>
          <w:rFonts w:ascii="Times New Roman"/>
          <w:b w:val="false"/>
          <w:i w:val="false"/>
          <w:color w:val="000000"/>
          <w:sz w:val="28"/>
        </w:rPr>
        <w:t xml:space="preserve"> настоящих Методологических пояснений, является наибольшей для домашнего хозяйства в целом, даже если она не всегда составляет более половины всего дохода домашнего хозяйства. Если домашнее хозяйство получает более одного дохода данной категории (например, потому что более одного члена домашнего хозяйства получают оплату труда или потому что получено более одного вида дохода от собственности или трансфертов), классификация должна основываться на общем доходе домашнего хозяйства в пределах каждой категории.</w:t>
      </w:r>
      <w:r>
        <w:br/>
      </w:r>
      <w:r>
        <w:rPr>
          <w:rFonts w:ascii="Times New Roman"/>
          <w:b w:val="false"/>
          <w:i w:val="false"/>
          <w:color w:val="000000"/>
          <w:sz w:val="28"/>
        </w:rPr>
        <w:t>
</w:t>
      </w:r>
      <w:r>
        <w:rPr>
          <w:rFonts w:ascii="Times New Roman"/>
          <w:b w:val="false"/>
          <w:i w:val="false"/>
          <w:color w:val="000000"/>
          <w:sz w:val="28"/>
        </w:rPr>
        <w:t>
      37. Подсекторы сектора «Домашние хозяйства» определяются следующим образом:</w:t>
      </w:r>
      <w:r>
        <w:br/>
      </w:r>
      <w:r>
        <w:rPr>
          <w:rFonts w:ascii="Times New Roman"/>
          <w:b w:val="false"/>
          <w:i w:val="false"/>
          <w:color w:val="000000"/>
          <w:sz w:val="28"/>
        </w:rPr>
        <w:t>
      а) работодатели;</w:t>
      </w:r>
      <w:r>
        <w:br/>
      </w:r>
      <w:r>
        <w:rPr>
          <w:rFonts w:ascii="Times New Roman"/>
          <w:b w:val="false"/>
          <w:i w:val="false"/>
          <w:color w:val="000000"/>
          <w:sz w:val="28"/>
        </w:rPr>
        <w:t>
      б) самостоятельно занятые лица;</w:t>
      </w:r>
      <w:r>
        <w:br/>
      </w:r>
      <w:r>
        <w:rPr>
          <w:rFonts w:ascii="Times New Roman"/>
          <w:b w:val="false"/>
          <w:i w:val="false"/>
          <w:color w:val="000000"/>
          <w:sz w:val="28"/>
        </w:rPr>
        <w:t>
      в) лица, работающие по найму;</w:t>
      </w:r>
      <w:r>
        <w:br/>
      </w:r>
      <w:r>
        <w:rPr>
          <w:rFonts w:ascii="Times New Roman"/>
          <w:b w:val="false"/>
          <w:i w:val="false"/>
          <w:color w:val="000000"/>
          <w:sz w:val="28"/>
        </w:rPr>
        <w:t>
      г) получатели доходов от собственности и трансфертов.</w:t>
      </w:r>
      <w:r>
        <w:br/>
      </w:r>
      <w:r>
        <w:rPr>
          <w:rFonts w:ascii="Times New Roman"/>
          <w:b w:val="false"/>
          <w:i w:val="false"/>
          <w:color w:val="000000"/>
          <w:sz w:val="28"/>
        </w:rPr>
        <w:t>
</w:t>
      </w:r>
      <w:r>
        <w:rPr>
          <w:rFonts w:ascii="Times New Roman"/>
          <w:b w:val="false"/>
          <w:i w:val="false"/>
          <w:color w:val="000000"/>
          <w:sz w:val="28"/>
        </w:rPr>
        <w:t>
      38. Подсектор «Получатели доходов от собственности и трансфертов», включающий в себя домашние хозяйства, у которых доходы от собственности и трансферты составляют наиболее значительный источник доходов, представляет собой разнородную группу, которую рекомендуется разделить, если это возможно, на три подсектора:</w:t>
      </w:r>
      <w:r>
        <w:br/>
      </w:r>
      <w:r>
        <w:rPr>
          <w:rFonts w:ascii="Times New Roman"/>
          <w:b w:val="false"/>
          <w:i w:val="false"/>
          <w:color w:val="000000"/>
          <w:sz w:val="28"/>
        </w:rPr>
        <w:t>
      а) получатели доходов от собственности;</w:t>
      </w:r>
      <w:r>
        <w:br/>
      </w:r>
      <w:r>
        <w:rPr>
          <w:rFonts w:ascii="Times New Roman"/>
          <w:b w:val="false"/>
          <w:i w:val="false"/>
          <w:color w:val="000000"/>
          <w:sz w:val="28"/>
        </w:rPr>
        <w:t>
      б) получатели пенсий;</w:t>
      </w:r>
      <w:r>
        <w:br/>
      </w:r>
      <w:r>
        <w:rPr>
          <w:rFonts w:ascii="Times New Roman"/>
          <w:b w:val="false"/>
          <w:i w:val="false"/>
          <w:color w:val="000000"/>
          <w:sz w:val="28"/>
        </w:rPr>
        <w:t>
      в) получатели других трансфертных доходов.</w:t>
      </w:r>
      <w:r>
        <w:br/>
      </w:r>
      <w:r>
        <w:rPr>
          <w:rFonts w:ascii="Times New Roman"/>
          <w:b w:val="false"/>
          <w:i w:val="false"/>
          <w:color w:val="000000"/>
          <w:sz w:val="28"/>
        </w:rPr>
        <w:t>
</w:t>
      </w:r>
      <w:r>
        <w:rPr>
          <w:rFonts w:ascii="Times New Roman"/>
          <w:b w:val="false"/>
          <w:i w:val="false"/>
          <w:color w:val="000000"/>
          <w:sz w:val="28"/>
        </w:rPr>
        <w:t>
      39. Сектор «Некоммерческие организации, обслуживающие домашние хозяйства» состоит из нерыночных некоммерческих организаций, которые не контролируются органами государственного управления. Они предоставляют товары и услуги домашним хозяйствам бесплатно или по экономически незначимым ценам. Большая часть этих товаров и услуг представляет собой индивидуальное потребление, но некоммерческие организации, обслуживающие домашние хозяйства, могут предоставлять и коллективные услуги.</w:t>
      </w:r>
    </w:p>
    <w:bookmarkEnd w:id="12"/>
    <w:bookmarkStart w:name="z62" w:id="13"/>
    <w:p>
      <w:pPr>
        <w:spacing w:after="0"/>
        <w:ind w:left="0"/>
        <w:jc w:val="left"/>
      </w:pPr>
      <w:r>
        <w:rPr>
          <w:rFonts w:ascii="Times New Roman"/>
          <w:b/>
          <w:i w:val="false"/>
          <w:color w:val="000000"/>
        </w:rPr>
        <w:t xml:space="preserve"> 
II. Остальной мир</w:t>
      </w:r>
    </w:p>
    <w:bookmarkEnd w:id="13"/>
    <w:bookmarkStart w:name="z63" w:id="14"/>
    <w:p>
      <w:pPr>
        <w:spacing w:after="0"/>
        <w:ind w:left="0"/>
        <w:jc w:val="both"/>
      </w:pPr>
      <w:r>
        <w:rPr>
          <w:rFonts w:ascii="Times New Roman"/>
          <w:b w:val="false"/>
          <w:i w:val="false"/>
          <w:color w:val="000000"/>
          <w:sz w:val="28"/>
        </w:rPr>
        <w:t>
      40. Секция «Остальной мир» охватывает все нерезидентские институциональные единицы, которые участвуют в операциях с резидентскими единицами или имеют другие экономические связи с резидентскими единицами данного государства-члена. Счета или таблицы для остального мира содержат записи только об операциях между резидентами и нерезидентами или о других экономических отношениях, таких как требования резидентов к нерезидентам и наоборот. Остальной мир включает некоторые институциональные единицы, которые могут физически располагаться на географической территории данного государства-члена, например, такие иностранные анклавы, как посольства, консульства или военные базы, а также международные организации.</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