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38a88" w14:textId="6738a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организации проведения межлабораторных сравнительных испытаний (межлабораторных сличений)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26 января 2016 года № 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Решение вступило в силу 29.01.2017 -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проведении согласованной политики в области обеспечения единства измерений (приложение № 10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и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признании результатов работ по аккредитации органов по оценке соответствия (приложение № 11 к Договору о Евразийском экономическом союзе от 29 мая 2014 года) в части обеспечения и организации проведения межлабораторных сравнительных испытаний (межлабораторных сличений)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Порядок организации проведения межлабораторных сравнительных испытаний (межлабораторных сличений).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указанный Порядок не распространяется на отношения, связанные с включением испытательных лабораторий (центров) в Единый реестр органов по сертификации и испытательных лабораторий (центров) Таможенного союза в соответствии с Положением о порядке включения органов по сертификации и испытательных лабораторий (центров) в Единый реестр органов по сертификации и испытательных лабораторий (центров) Таможенного союза, а также его формирования и ведения,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г. № 319.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1 года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даты его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2016 г. №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Решения 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2022 г. № 196)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организации проведения межлабораторных сравнительных испытаний (межлабораторных сличений)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Порядок - в редакции решения Коллегии Евразийской экономической комиссии от 20.12.2022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12 месяцев с даты его официального опубликования).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устанавливает требования к организации проведения межлабораторных сравнительных испытаний (межлабораторных сличений) с целью проверки квалификации аккредитованных испытательных лабораторий (центров), выполняющих работы по оценке соответствия продукции требованиям технических регламентов Евразийского экономического союза (далее – Союз) и включенных в единый реестр органов по оценке соответствия Союза (далее – испытательные лаборатории) в соответствии с областью аккредитации.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настоящего Порядка используются понятия, которые означают следующее: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"межлабораторные сравнительные испытания (межлабораторные сличения) с целью проверки квалификации испытательных лабораторий", "межлабораторные сличения" – процедура организации, выполнения и оценивания исследований (испытаний) и измерений одного и того же или нескольких подобных образцов в двух и более испытательных лабораториях посредством оценивания характеристик функционирования этих испытательных лабораторий;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"образец для проверки квалификации", "образец" – объект исследований (испытаний) и измерений, техническое средство, стандартный образец, вещество (смесь веществ), материал, иные объекты природного и искусственного происхождения, которые могут быть использованы в качестве образца для организации межлабораторных сличений, с заранее установленными характеристиками (составами, свойствами, параметрами), предназначенный для проверки квалификации испытательных лабораторий;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"провайдер проверки квалификации", "провайдер" – организация, которая несет ответственность за все задачи по разработке и выполнению программ межлабораторных сравнительных испытаний (межлабораторных сличений) с целью проверки квалификации испытательных лабораторий;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"программа межлабораторных сравнительных испытаний (межлабораторных сличений) с целью проверки квалификации испытательных лабораторий", "программа межлабораторных сличений" – документ, устанавливающий последовательность действий, выполняемых провайдером при организации и проведении межлабораторных сличений за один или несколько туров программы межлабораторных сличений в определенной области исследований (испытаний) и измерений;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"субподрядчик" – юридическое или физическое лицо, привлекаемое провайдером в качестве соисполнителя на различных этапах разработки и реализации программы межлабораторных сличений;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"технический эксперт" – физическое лицо, обладающее специальными знаниями в определенной области исследований (испытаний) и измерений, привлекаемое для участия в программе межлабораторных сличений и оценки данной программы и результатов ее реализации, являющееся работником провайдера (на постоянной основе или на договорных условиях);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"тур программы межлабораторных сравнительных испытаний (межлабораторных сличений) с целью проверки квалификации испытательных лабораторий", "тур программы межлабораторных сличений" – завершенная последовательность действий по распределению образцов, оцениванию результатов проверки квалификации и предоставлению отчета о таких результатах участникам межлабораторных сличений.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понятия, используемые в настоящем Порядке, применяются в значениях,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Протоколом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техническом регулировании в рамках Евразийского экономического союза (приложение № 9 к Договору о Евразийском экономическом союзе от 29 мая 2014 года), </w:t>
      </w:r>
      <w:r>
        <w:rPr>
          <w:rFonts w:ascii="Times New Roman"/>
          <w:b w:val="false"/>
          <w:i w:val="false"/>
          <w:color w:val="000000"/>
          <w:sz w:val="28"/>
        </w:rPr>
        <w:t>Протоколом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проведении согласованной политики в области обеспечения единства измерений (приложение № 10 к Договору о Евразийском экономическом союзе от 29 мая 2014 года), </w:t>
      </w:r>
      <w:r>
        <w:rPr>
          <w:rFonts w:ascii="Times New Roman"/>
          <w:b w:val="false"/>
          <w:i w:val="false"/>
          <w:color w:val="000000"/>
          <w:sz w:val="28"/>
        </w:rPr>
        <w:t>Порядком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метрологической аттестации методики (метода) измерений, утвержденным Решением Совета Евразийской экономической комиссии от 17 марта 2016 г. № 21, и </w:t>
      </w:r>
      <w:r>
        <w:rPr>
          <w:rFonts w:ascii="Times New Roman"/>
          <w:b w:val="false"/>
          <w:i w:val="false"/>
          <w:color w:val="000000"/>
          <w:sz w:val="28"/>
        </w:rPr>
        <w:t>Порядком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методики (метода) измерений, принимаемой в качестве референтной методики (метода) измерений, утвержденным Решением Коллегии Евразийской экономической комиссии от 7 июня 2016 г. № 68.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Участниками деятельности по проведению межлабораторных сличений являются: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органы государств – членов Союза (далее – государства-члены), уполномоченные на осуществление соответствующей деятельности (далее – уполномоченные органы);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провайдеры проверки квалификации, осуществляющие свою деятельность в соответствии с требованиями межгосударственного стандарта, идентичного международному стандарту ISО/IEC 17043 "Оценка соответствия. Основные требования к проведению проверки квалификации" (далее – ГОСТ ISО/IEC 17043), уполномоченные (аккредитованные) на проведение этих работ в соответствии законодательством государств-членов;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испытательные лаборатории, которые являются участниками межлабораторных сличений (далее – лаборатории-участники).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Уполномоченные органы осуществляют следующие функции: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и научно-методическое обеспечение работ по реализации в государствах-членах программ межлабораторных сравнительных испытаний (межлабораторных сличений) с целью проверки квалификации испытательных лабораторий;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предложений по разработке и реализации программ межлабораторных сличений (при необходимости);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критериев и процедур оценки программ межлабораторных сличений и отчетов по итогам их реализации с целью формирования сводного перечня программ межлабораторных сличений;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результатов реализации программ межлабораторных сличений;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сводного перечня программ межлабораторных сличений и ежегодное представление его в Евразийскую экономическую комиссию (далее – Комиссия);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сводной информации по результатам реализации программ межлабораторных сличений и ежегодное представление ее в Комиссию;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иных функций, определенных в соответствии с законодательством государства-члена.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Функции уполномоченного органа могут быть возложены на метрологический институт, определенный государством-членом в соответствии с его законодательством.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совмещение функций уполномоченного органа и провайдера проверки квалификации в случае, если это установлено законодательством государства-члена.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Деятельность провайдера проверки квалификации должна соответствовать следующим требованиям: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наличие собственной испытательной базы в соответствующей области исследований (испытаний) и измерений (далее – испытания) для подготовки и испытания образцов;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возможность привлекать к подготовке и испытанию образцов субподрядчика, располагающего необходимой испытательной базой, в соответствии с законодательством государства-члена. При этом провайдер (или субподрядчик) должен быть компетентен в измерении определяемых свойств образцов с учетом требований межгосударственного стандарта, идентичного международному стандарту ISO/IEC 17025 "Общие требования к компетентности испытательных и калибровочных лабораторий", и иных межгосударственных стандартов, для случая, если в качестве объектов межлабораторных сличений не применяются аттестованные (сертифицированные) стандартные образцы состава и свойств веществ и материалов;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наличие в штате технических экспертов и иных компетентных специалистов в областях испытаний, в которых провайдер выполняет программы межлабораторных сличений. Технические эксперты в случае необходимости могут привлекаться провайдером на договорной основе для подготовки и испытания образцов для проверки квалификации; 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независимость от лабораторий-участников, отсутствие общих коммерческих, финансовых и административных интересов или конкуренции с ними;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беспристрастность при выполнении программ межлабораторных сличений. В случае наличия обстоятельств, влияющих на беспристрастность его решений, провайдер должен определить потенциальные конфликты интересов, осуществить оценку рисков и внедрить процедуры, гарантирующие беспристрастное выполнение всех видов работ, связанных с проверкой квалификации лабораторий-участников;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информирование лабораторий-участников о ежегодном предоставлении результатов их участия в программах межлабораторных сличений в уполномоченный орган.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Разработка и реализация программ межлабораторных сличений осуществляются провайдером с учетом следующей приоритетности: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программы межлабораторных сличений с использованием в качестве образцов стандартных образцов состава и свойств веществ и материалов, производителем которых является провайдер;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программы межлабораторных сличений с использованием образцов, создаваемых на основе стандартного образца (образцов для контроля качества); 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программы межлабораторных сличений с использованием образцов веществ, материалов продукции (реальных матриц), оборудования, технических средств и (или) других объектов измерений, для которых провайдер обеспечил проведение испытаний на однородность образца и (или) стабильность измеряемых величин. Такие испытания должны быть проведены предварительно до разработки и реализации программы межлабораторных сличений, по итогам их проведения должен быть подготовлен отчет. При этом приписанное значение измеряемых величин такого образца должно быть установлено одним из способов с учетом следующей приоритетности: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использованием эталона, прослеживаемого до международного или национального эталона;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использованием стандартного образца, одно или несколько определенных свойств которого указаны в документации, которой сопровождается такой образец и в которой приведены значения этих свойств, связанной с ними погрешности (неопределенности) и информация о метрологической прослеживаемости;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использованием первичной референтной методики (метода) измерений и (или) референтных методик (методов) измерений; 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результатов межлабораторных сличений одной или нескольких испытательных лабораторий, использующих оборудование более высокой точности по сравнению с лабораториями-участниками;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результатов межлабораторных сличений одной или нескольких лабораторий-участников при их участии в международных или региональных программах межлабораторных сличений;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общей совокупности результатов межлабораторных сличений лабораторий-участников.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Лаборатории-участники проводят испытания с использованием методик (методов) испытаний, содержащихся в стандартах, включенных в утвержденные Комиссией перечни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и осуществления оценки соответствия объектов технического регулирования.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реализации межлабораторных сличений провайдер разрабатывает программу межлабораторных сличений с учетом требований ГОСТ ISO/IEC 13528 "Статистические методы, применяемые при проверке квалификации посредством межлабораторных сличений" и при необходимости ГОСТ ISO/TS 22117 "Микробиология пищевых продуктов и кормов для животных. Специальные требования и руководство по проверке квалификации лабораторий с помощью межлабораторных сравнительных испытаний". При разработке программ межлабораторных сличений с целью проверки квалификации испытательных лабораторий, планирующих выполнение работ по оценке соответствия продукции требованиям технических регламентов Союза или выполняющих такие работы, необходимо учитывать показатели (характеристики) безопасности объектов испытаний, а также методики (методы) испытаний, включенные в перечни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и осуществления оценки соответствия объектов технического регулирования.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программ межлабораторных сличений, разрабатываемых провайдерами государств-членов, допускается участие испытательных лабораторий в программах межлабораторных сличений, разрабатываемых и реализованных провайдерами третьих стран, которые аккредитованы органами по аккредитации – подписантами Соглашения о взаимном признании Международной организации по аккредитации лабораторий (ILAC MRA) в этой области.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Информация о результатах испытаний лаборатории-участника и оценка ее характеристик функционирования является конфиденциальной и без письменного согласия лаборатории-участника не подлежит разглашению или передаче другим организациям или лицам, если иное не установлено законодательством государств-членов.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межлабораторных сличений могут быть использованы для: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оценки: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точности, обеспечения достоверности результатов измерений и (или) оценки качества результатов измерений;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эквивалентности или сравнительной оценки результатов измерений;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метрологических характеристик методик (методов) измерений с целью их аттестации;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измерительных возможностей лаборатории-участника;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оценки (подтверждения) метрологических и технических характеристик (параметров) образца в целях его аттестации (сертификации) в качестве стандартного образца либо организации межлабораторных сличений;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решения иных задач.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Периодичность участия испытательных лабораторий в межлабораторных сличениях с целью проверки квалификации должен устанавливать орган по аккредитации государства-члена, но не реже 1 раза в 3 года, если такая деятельность доступна и применима в заявленной или действующей областях аккредитации.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Орган по аккредитации государства-члена учитывает результаты участия испытательных лабораторий в межлабораторных сличениях, организованных провайдерами, в процессе аккредитации этих испытательных лабораторий в соответствии с правилами аккредитации, установленными законодательством государства-члена. </w:t>
      </w:r>
    </w:p>
    <w:bookmarkEnd w:id="59"/>
    <w:bookmarkStart w:name="z6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Порядок разработки и реализации программ межлабораторных сравнительных испытаний (межлабораторных сличений) с целью проверки квалификации испытательных лабораторий 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Проведение межлабораторных сличений предусматривает разработку различных типов программ межлабораторных сличений в соответствии с ГОСТ ISO/IEC 17043.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Программа межлабораторных сличений разрабатывается провайдером в зависимости от выбранного типа на основании анализа поступивших предложений, заявок и технических возможностей провайдера по реализации межлабораторных сличений. 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рассматриваются ресурсы и возможности провайдера, включая область аккредитации, технические требования к образцам, методикам (методам) испытаний, оборудованию, условиям выполнения работ, сроки выполнения работ, необходимость привлечения субподрядчиков для выполнения работ по подготовке и испытанию образцов и др.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Разработка программ межлабораторных сличений осуществляется с учетом требований технических регламентов Союза, направлений деятельности (областей испытаний, методик (методов) испытаний) испытательных лабораторий, видов испытываемой продукции. 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Каждой программе межлабораторных сличений присваивается уникальный идентификационный номер в соответствии с требованиями системы менеджмента провайдера. 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Разработка программы межлабораторных сличений включает в себя следующие этапы: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цели и задач программы;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типа программы;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технических экспертов и иных компетентных специалистов, привлекаемых к разработке и реализации программы;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области применения программы (номенклатура испытываемой продукции, измеряемые величины, диапазон измеряемых величин, применяемые лабораториями-участниками методики (методы) испытаний);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критериев выбора лабораторий-участников;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требований к приобретению или подготовке образцов, их маркировке и упаковке, условиям их хранения, транспортирования, способам их распространения среди лабораторий-участников;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методов установления приписанного значения измеряемой величины и оценки неопределенности измерений, подтверждение метрологической прослеживаемости (при возможности);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требований к подтверждению однородности и стабильности образцов;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в форс-мажорных ситуациях (например, при утере или повреждении лабораторией-участником образца, нарушении правил конфиденциальности);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правил взаимодействия с лабораториями-участниками (в том числе требования к информации, получаемой от лабораторий-участников и предоставляемой лабораториям-участникам провайдером);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результатов испытаний лабораторий-участников.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Провайдер реализует программу межлабораторных сличений посредством реализации ее туров. Для реализации туров программы межлабораторных сличений провайдер разрабатывает документы, включая планы реализации туров, инструкции для лабораторий-участников, протоколы испытаний образцов и (или) отчеты о подготовке образцов и иные документы. 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Провайдер включает в документы по реализации тура программы межлабораторных сравнительных испытаний (межлабораторных сличений) с целью проверки квалификации испытательных лабораторий следующие сведения: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наименование и контактная информация провайдера;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цель проведения межлабораторных сличений;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используемые типы программы межлабораторных сличений;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информация о лабораториях-участниках;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информация о подготовке образцов;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перечень измеряемых величин при проведении межлабораторных сличений;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методики (методы) испытаний с указанием нормативных правовых актов, устанавливающих методику (метод) испытаний (при необходимости);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способы установления приписанного значения измеряемой величины и связанной с ним погрешности (неопределенности), информация о метрологической прослеживаемости (при возможности);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информация об образцах: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стандартного образца – категории, наименования, аттестованные значения стандартного образца, погрешность (неопределенность) аттестованных значений стандартного образца; 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образца, создаваемого на основе стандартного образца, – описание образца, информация о лаборатории-участнике, предоставляющей приписанное значение измеряемой величины, технические требования к образцу (при необходимости);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оборудования, технического средства и (или) других объектов измерений – описание образца, информация о лаборатории-участнике, предоставляющей приписанное значение измеряемой величины, метрологические и технические требования к образцу (при необходимости); 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 требования к: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отчету о подготовке образцов, включая заключение о возможности их применения;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упаковке и доставке образцов лабораториям-участникам;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условиям проведения работ для обеспечения согласованных условий у разных лабораторий-участников;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средствам измерений, испытательному, вспомогательному, лабораторному оборудованию, материалам и реактивам, применяемым в соответствии с методиками (методами) испытаний (при необходимости);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оформлению результатов испытаний;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 сроки реализации тура программы межлабораторных сличений и проведения работ непосредственно лабораториями-участниками, предусмотренные календарным планом (при необходимости одновременного проведения).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Провайдер имеет право запросить у лабораторий-участников информацию, необходимую для оценки результатов межлабораторных сличений.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случае если в сведениях об используемых методиках (методах) испытаний не указаны нормы и (или) значения характеристик точности, воспроизводимости, повторяемости и приписанных значений погрешности (неопределенности), то в отчете о реализации тура программы межлабораторных сличений провайдер указывает способ установления критериев приемлемости для оценки результатов испытаний лабораторий-участников. </w:t>
      </w:r>
    </w:p>
    <w:bookmarkEnd w:id="100"/>
    <w:bookmarkStart w:name="z103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Требования к образцам для проверки квалификации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Образцы для проверки квалификации должны соответствовать по составу или свойству выбранному объекту испытаний.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качестве образцов могут быть использованы:</w:t>
      </w:r>
    </w:p>
    <w:bookmarkEnd w:id="103"/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аттестованные (сертифицированные) стандартные образцы состава и свойств веществ и материалов в соответствии c законодательством государства-члена;</w:t>
      </w:r>
    </w:p>
    <w:bookmarkEnd w:id="104"/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образцы, создаваемые на основе стандартного образца, с установленными приписанными значениями измеряемых величин;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образцы, приписанное значение которых устанавливается на основе данных, полученных при осуществлении процедуры их изготовления;</w:t>
      </w:r>
    </w:p>
    <w:bookmarkEnd w:id="106"/>
    <w:bookmarkStart w:name="z1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реальные образцы продукции (при отсутствии стандартных образцов), в отношении которых обеспечена стабильность измеряемых величин и однородность материала в период реализации тура программы межлабораторных сличений; </w:t>
      </w:r>
    </w:p>
    <w:bookmarkEnd w:id="107"/>
    <w:bookmarkStart w:name="z1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оборудование, техническое средство и (или) другие объекты измерений.</w:t>
      </w:r>
    </w:p>
    <w:bookmarkEnd w:id="108"/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Образцы для проверки квалификации изготавливаются в количестве, достаточном для целей межлабораторных сличений, в том числе для возможности возмещения образцов, утерянных или поврежденных при распределении, а также их использования после того, как результаты испытаний лабораторий-участников оценены.</w:t>
      </w:r>
    </w:p>
    <w:bookmarkEnd w:id="109"/>
    <w:bookmarkStart w:name="z11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Провайдер готовит дополнительные образцы для проверки квалификации в достаточном количестве в случае возникновения форс-мажорных ситуаций или разногласий в отношении результатов лабораторий-участников.</w:t>
      </w:r>
    </w:p>
    <w:bookmarkEnd w:id="110"/>
    <w:bookmarkStart w:name="z11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Приписанное значение измеряемой величины образца должно находиться в диапазоне определяемых значений каждой из методик (методов) испытаний, которые будут применены лабораториями-участниками. В качестве приписанного значения измеряемой величины принимают:</w:t>
      </w:r>
    </w:p>
    <w:bookmarkEnd w:id="111"/>
    <w:bookmarkStart w:name="z1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аттестованное (сертифицированное) значение стандартного образца, приведенное в паспорте (сертификате) или в другом документе на стандартный образец с указанием погрешности (неопределенности);</w:t>
      </w:r>
    </w:p>
    <w:bookmarkEnd w:id="112"/>
    <w:bookmarkStart w:name="z11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значение измеряемой величины, полученное для конкретного свойства образца в соответствии со способом изготовления (с использованием метода добавки или метода разбавления);</w:t>
      </w:r>
    </w:p>
    <w:bookmarkEnd w:id="113"/>
    <w:bookmarkStart w:name="z11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значение измеряемой величины, определяемое в ходе испытания образца с использованием эталона, прослеживаемого до международного или национального эталона; </w:t>
      </w:r>
    </w:p>
    <w:bookmarkEnd w:id="114"/>
    <w:bookmarkStart w:name="z11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результат испытаний, полученный испытательной лабораторией, которая использует для установления приписанных значений измеряемых величин образца первичную референтную и (или) референтную методику (метод) измерений; </w:t>
      </w:r>
    </w:p>
    <w:bookmarkEnd w:id="115"/>
    <w:bookmarkStart w:name="z11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согласованные значения результатов испытаний, полученные испытательными лабораториями с использованием статистических методов анализа данных, с учетом влияния выбросов;</w:t>
      </w:r>
    </w:p>
    <w:bookmarkEnd w:id="116"/>
    <w:bookmarkStart w:name="z11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результат испытаний лаборатории (при отсутствии лаборатории, указанной в подпункте "г" настоящего пункта), соответствующей одному из следующих требований, перечисленных в порядке приоритетности:</w:t>
      </w:r>
    </w:p>
    <w:bookmarkEnd w:id="117"/>
    <w:bookmarkStart w:name="z12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эталона, прослеживаемого до международного или национального эталона;</w:t>
      </w:r>
    </w:p>
    <w:bookmarkEnd w:id="118"/>
    <w:bookmarkStart w:name="z12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аттестованного (сертифицированного) стандартного образца, прослеживаемого до международного или национального эталона;</w:t>
      </w:r>
    </w:p>
    <w:bookmarkEnd w:id="119"/>
    <w:bookmarkStart w:name="z12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средства измерений более высокой точности, чем средства измерений лабораторий-участников;</w:t>
      </w:r>
    </w:p>
    <w:bookmarkEnd w:id="120"/>
    <w:bookmarkStart w:name="z12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опыта и навыков изготовления стандартных образцов;</w:t>
      </w:r>
    </w:p>
    <w:bookmarkEnd w:id="121"/>
    <w:bookmarkStart w:name="z12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международных (региональных) программах межлабораторных сличений;</w:t>
      </w:r>
    </w:p>
    <w:bookmarkEnd w:id="122"/>
    <w:bookmarkStart w:name="z12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опыта и навыков разработки и аттестации (валидации) методик (методов) испытаний.</w:t>
      </w:r>
    </w:p>
    <w:bookmarkEnd w:id="123"/>
    <w:bookmarkStart w:name="z12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Образец должен быть стабилен в течение всего времени реализации тура программы межлабораторных сличений.</w:t>
      </w:r>
    </w:p>
    <w:bookmarkEnd w:id="124"/>
    <w:bookmarkStart w:name="z12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Количество (объем, масса) образца, предоставляемое каждой лаборатории-участнику, выбирается в зависимости от измеряемых величин и применяемых лабораториями-участниками методик (методов) испытаний и должно быть достаточным для определения измеряемых величин с использованием любой из таких методик (методов).</w:t>
      </w:r>
    </w:p>
    <w:bookmarkEnd w:id="125"/>
    <w:bookmarkStart w:name="z12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Если образец представляет собой оборудование, техническое средство и (или) другие объекты измерений, в отношении которых провайдер подтвердил стабильность измеряемых величин в период реализации тура программы межлабораторных сличений, все лаборатории-участники могут проводить испытания на одном и том же образце. </w:t>
      </w:r>
    </w:p>
    <w:bookmarkEnd w:id="126"/>
    <w:bookmarkStart w:name="z12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Образцы упаковываются согласно требованиям к упаковке образцов (проб), установленным в документах системы менеджмента провайдера, и идентифицируются этикеткой, содержащей обозначение (шифр) образца. Упаковка должна обеспечивать сохранность образцов и стабильность измеряемых величин образцов до момента проведения испытаний, а также возможность пересылки образцов лабораториям-участникам (при необходимости).</w:t>
      </w:r>
    </w:p>
    <w:bookmarkEnd w:id="127"/>
    <w:bookmarkStart w:name="z130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Требования к обработке результатов испытаний и оформлению отчетов</w:t>
      </w:r>
    </w:p>
    <w:bookmarkEnd w:id="128"/>
    <w:bookmarkStart w:name="z13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Статистическая обработка результатов испытаний выполняется провайдером с учетом требований межгосударственных или национальных стандартов государств-членов, идентичных международным стандартам, в том числе ГОСТ ISO/IEC 13528 "Статистические методы, применяемые при проверке квалификации посредством межлабораторных сличений", или с применением других методов статистического анализа. Ответственность за выбор метода статистического анализа несет провайдер.</w:t>
      </w:r>
    </w:p>
    <w:bookmarkEnd w:id="129"/>
    <w:bookmarkStart w:name="z13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Отчет о реализации тура программы межлабораторных сличений оформляется провайдером в соответствии с требованиями ГОСТ ISО/IEC 17043. В отчете провайдер предоставляет комментарии о характеристиках функционирования лабораторий-участников (если это приемлемо для цели программы межлабораторных сличений) в отношении следующих факторов:</w:t>
      </w:r>
    </w:p>
    <w:bookmarkEnd w:id="130"/>
    <w:bookmarkStart w:name="z13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итоговые характеристики функционирования (с учетом неопределенности результатов испытаний);</w:t>
      </w:r>
    </w:p>
    <w:bookmarkEnd w:id="131"/>
    <w:bookmarkStart w:name="z13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диапазон результатов испытаний в лабораториях-участниках и между ними, а также сравнение с результатами предыдущих туров программы межлабораторных сличений;</w:t>
      </w:r>
    </w:p>
    <w:bookmarkEnd w:id="132"/>
    <w:bookmarkStart w:name="z13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различие методик (методов) испытаний;</w:t>
      </w:r>
    </w:p>
    <w:bookmarkEnd w:id="133"/>
    <w:bookmarkStart w:name="z13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возможные источники ошибок (в отношении выбросов) и предложения об улучшении выполнения испытаний; </w:t>
      </w:r>
    </w:p>
    <w:bookmarkEnd w:id="134"/>
    <w:bookmarkStart w:name="z13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консультации и обратная связь с лабораториями-участниками в рамках реализации постоянных процедур, направленных на повышение качества работы лабораторий-участников;</w:t>
      </w:r>
    </w:p>
    <w:bookmarkEnd w:id="135"/>
    <w:bookmarkStart w:name="z13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факторы, которые делают оценку результатов испытаний и предоставление комментариев о характеристиках функционирования лабораторий-участников невозможными;</w:t>
      </w:r>
    </w:p>
    <w:bookmarkEnd w:id="136"/>
    <w:bookmarkStart w:name="z13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ж) любые предложения, рекомендации или общие комментарии; </w:t>
      </w:r>
    </w:p>
    <w:bookmarkEnd w:id="137"/>
    <w:bookmarkStart w:name="z14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выводы о характеристиках функционирования лабораторий-участников;</w:t>
      </w:r>
    </w:p>
    <w:bookmarkEnd w:id="138"/>
    <w:bookmarkStart w:name="z14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иные результаты оценки и комментарии в зависимости от цели реализации тура программы межлабораторных сличений.</w:t>
      </w:r>
    </w:p>
    <w:bookmarkEnd w:id="139"/>
    <w:bookmarkStart w:name="z142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Порядок формирования сводной информации о программах межлабораторных сравнительных испытаний (межлабораторных сличений) с целью проверки квалификации испытательных лабораторий</w:t>
      </w:r>
    </w:p>
    <w:bookmarkEnd w:id="140"/>
    <w:bookmarkStart w:name="z14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Провайдеры ежегодно, до 31 декабря текущего года, представляют в уполномоченный орган информацию о планируемых на следующий год программах межлабораторных сличений по форме согласно приложению № 1 и информацию о выполненных в текущем году программах межлабораторных сличений по форме согласно приложению № 2.</w:t>
      </w:r>
    </w:p>
    <w:bookmarkEnd w:id="141"/>
    <w:bookmarkStart w:name="z14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Уполномоченный орган в рамках выполнения функций по координации межлабораторных сличений осуществляет мониторинг и анализ разработки и результатов реализации программ межлабораторных сличений, а также анализ востребованности испытательными лабораториями таких программ.</w:t>
      </w:r>
    </w:p>
    <w:bookmarkEnd w:id="142"/>
    <w:bookmarkStart w:name="z14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выполнения мониторинга и анализа уполномоченный орган запрашивает следующую дополнительную информацию:</w:t>
      </w:r>
    </w:p>
    <w:bookmarkEnd w:id="143"/>
    <w:bookmarkStart w:name="z14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провайдеров – об организации и проведении программ межлабораторных сличений;</w:t>
      </w:r>
    </w:p>
    <w:bookmarkEnd w:id="144"/>
    <w:bookmarkStart w:name="z14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 испытательных лабораторий государства-члена – об участии в межлабораторных сличениях, организованных провайдерами третьих стран (при необходимости). </w:t>
      </w:r>
    </w:p>
    <w:bookmarkEnd w:id="145"/>
    <w:bookmarkStart w:name="z14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На основании анализа уполномоченный орган определяет приоритетные направления программ межлабораторных сличений, формирует предложения о реализации таких программ и разработке новых программ межлабораторных сличений, предоставляет соответствующую информацию заинтересованным лицам, в том числе посредством размещения в информационно-телекоммуникационной сети "Интернет", в порядке, установленном законодательством государства-члена.</w:t>
      </w:r>
    </w:p>
    <w:bookmarkEnd w:id="146"/>
    <w:bookmarkStart w:name="z14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рамках научно-методического обеспечения межлабораторных сличений уполномоченный орган осуществляет организацию:</w:t>
      </w:r>
    </w:p>
    <w:bookmarkEnd w:id="147"/>
    <w:bookmarkStart w:name="z15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методологического сопровождения и выработки предложений по совершенствованию программ межлабораторных сличений по запросу заинтересованных уполномоченных органов и организаций;</w:t>
      </w:r>
    </w:p>
    <w:bookmarkEnd w:id="148"/>
    <w:bookmarkStart w:name="z15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оказания консультативной и методической помощи провайдерам по разработке и реализации программ межлабораторных сличений;</w:t>
      </w:r>
    </w:p>
    <w:bookmarkEnd w:id="149"/>
    <w:bookmarkStart w:name="z15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разработки методических пособий, рекомендаций и процедур для провайдеров по вопросам проведения межлабораторных сличений;</w:t>
      </w:r>
    </w:p>
    <w:bookmarkEnd w:id="150"/>
    <w:bookmarkStart w:name="z15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содействия деятельности научно-исследовательских учреждений и учреждений образования по вопросам подготовки, переподготовки и повышения квалификации работников, выполняющих задачи по разработке программ межлабораторных сличений и их реализации.</w:t>
      </w:r>
    </w:p>
    <w:bookmarkEnd w:id="151"/>
    <w:bookmarkStart w:name="z15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Сводный перечень программ межлабораторных сличений государства-члена с указанием провайдеров, ответственных за проведение программ сличений, формируется уполномоченным органом на основании анализа программ межлабораторных сличений в соответствии с приложением № 1 к настоящему Порядку.</w:t>
      </w:r>
    </w:p>
    <w:bookmarkEnd w:id="152"/>
    <w:bookmarkStart w:name="z15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Сводный отчет о выполненных программах межлабораторных сличений провайдеров государства-члена формируется уполномоченным органом по итогам анализа представленной провайдерами информации и результатов реализации таких программ с указанием провайдеров, ответственных за проведение программ межлабораторных сличений, в соответствии с приложением № 2 к настоящему Порядку.</w:t>
      </w:r>
    </w:p>
    <w:bookmarkEnd w:id="153"/>
    <w:bookmarkStart w:name="z15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Сводный перечень программ межлабораторных сличений и сводный отчет о выполненных программах межлабораторных сличений ежегодно, до 31 января текущего год, направляется в Комиссию для размещения на официальном сайте Комиссии в информационно-телекоммуникационной сети "Интернет".</w:t>
      </w:r>
    </w:p>
    <w:bookmarkEnd w:id="1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Примечания:</w:t>
            </w:r>
          </w:p>
          <w:bookmarkEnd w:id="155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Способы установления критериев приемлемости для оценки результатов испытаний лабораторий-участников приведены в ГОСТ ISО/IEC 13528 "Статистические методы, применяемые при проверке квалификации посредством межлабораторных сличений". 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При использовании стандартного образца испытания такого образца лабораториями-участниками должны быть проведены в пределах срока его годности.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 случае наличия в документах, регламентирующих отбор образцов, и (или) в методике испытаний ограничений в отношении использования образца, создаваемого на основе стандартного образца, с установленными приписанными значениями измеряемых величин, образца, изготовленного методом добавки или методом разбавления, либо реального образца продукции (при отсутствии стандартных образцов) устанавливают срок годности, в течение которого должны быть проведены испытания этого образца лабораториями-участниками.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 использовании оборудования, технического средства и (или) других объектов измерений в период реализации тура программы межлабораторных сличений приписанные значения измеряемых величин подвергаются промежуточным измерениям стабильности.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межлабораторных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сравнительных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(межлабораторных сличений)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(форма)</w:t>
            </w:r>
          </w:p>
        </w:tc>
      </w:tr>
    </w:tbl>
    <w:bookmarkStart w:name="z165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</w:t>
      </w:r>
      <w:r>
        <w:br/>
      </w:r>
      <w:r>
        <w:rPr>
          <w:rFonts w:ascii="Times New Roman"/>
          <w:b/>
          <w:i w:val="false"/>
          <w:color w:val="000000"/>
        </w:rPr>
        <w:t xml:space="preserve">о планируемых на _____ год программах межлабораторных сравнительных испытаний (межлабораторных сличений) с целью проверки квалификации аккредитованных (испытательных) лабораторий (центров), выполняющих работы по оценке соответствия продукции требованиям технических регламентов Евразийского экономического союза и включенных в единый реестр органов </w:t>
      </w:r>
      <w:r>
        <w:br/>
      </w:r>
      <w:r>
        <w:rPr>
          <w:rFonts w:ascii="Times New Roman"/>
          <w:b/>
          <w:i w:val="false"/>
          <w:color w:val="000000"/>
        </w:rPr>
        <w:t>по оценке соответствия Союза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номер технического регламента Евразийского экономического союза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программы межлабораторных сравнительных испытаний (межлабораторных сличений)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Измеряемые величины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методики (методы) испытаний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Субподрядчик, аттестат аккредитации (при наличии)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оценки результатов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5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 Настоящая форма заполняется в следующем порядке:</w:t>
      </w:r>
    </w:p>
    <w:bookmarkEnd w:id="160"/>
    <w:bookmarkStart w:name="z19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в графе 2 указываются наименования и номера технических регламентов Евразийского экономического союза, в отношении которых планируется выполнение программ межлабораторных сравнительных испытаний (межлабораторных сличений) (далее – программы межлабораторных сличений);</w:t>
      </w:r>
    </w:p>
    <w:bookmarkEnd w:id="161"/>
    <w:bookmarkStart w:name="z19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 в графе 3 указывается информация об идентификации программы межлабораторных сличений, определенной провайдером (например, идентификационный номер программы, ее отнесение к техническому регламенту Евразийского экономического союза, код, присвоенный в информационном фонде по обеспечению единства измерений государства – члена Союза согласно законодательству этого государства-члена); </w:t>
      </w:r>
    </w:p>
    <w:bookmarkEnd w:id="162"/>
    <w:bookmarkStart w:name="z19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 в графе 4 указывается информация об образце для проверки квалификации, который будет использоваться для выполнения программы межлабораторных сличений;</w:t>
      </w:r>
    </w:p>
    <w:bookmarkEnd w:id="163"/>
    <w:bookmarkStart w:name="z20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 в графе 5 указывается информация о характеристиках образца, которые определяются как измеряемые величины;</w:t>
      </w:r>
    </w:p>
    <w:bookmarkEnd w:id="164"/>
    <w:bookmarkStart w:name="z20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 в графе 6 указывается планируемый срок реализации тура программы межлабораторных сличений;</w:t>
      </w:r>
    </w:p>
    <w:bookmarkEnd w:id="165"/>
    <w:bookmarkStart w:name="z20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 в графе 7 указываются предполагаемые методики (методы) исследований (испытаний) и измерений, включенные в перечни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и осуществления оценки соответствия объектов технического регулирования, которые будут использованы при выполнении программы межлабораторных сличений;</w:t>
      </w:r>
    </w:p>
    <w:bookmarkEnd w:id="166"/>
    <w:bookmarkStart w:name="z20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 в графе 8 указываются наименование субподрядчика, выполняющего работы по подготовке образцов, и сведения о его аккредитации (при наличии);</w:t>
      </w:r>
    </w:p>
    <w:bookmarkEnd w:id="167"/>
    <w:bookmarkStart w:name="z20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 в графе 9 указываются критерии, по которым будут оценены характеристики функционирования участников межлабораторных сравнительных испытаний (межлабораторных) сличений.</w:t>
      </w:r>
    </w:p>
    <w:bookmarkEnd w:id="1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 организации проведения межлабораторных сравнительных испытаний (межлабораторных сличений)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(форма)</w:t>
            </w:r>
          </w:p>
        </w:tc>
      </w:tr>
    </w:tbl>
    <w:bookmarkStart w:name="z208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</w:t>
      </w:r>
      <w:r>
        <w:br/>
      </w:r>
      <w:r>
        <w:rPr>
          <w:rFonts w:ascii="Times New Roman"/>
          <w:b/>
          <w:i w:val="false"/>
          <w:color w:val="000000"/>
        </w:rPr>
        <w:t>о выполненных в _____ году программах межлабораторных сравнительных испытаний (межлабораторных сличений) с целью проверки квалификации аккредитованных (испытательных) лабораторий (центров), выполняющих работы по оценке соответствия продукции требованиям технических регламентов Евразийского экономического союза и включенных в единый реестр органов по оценке соответствия Союза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номер технического регламента Евразийского экономического союза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наименование программы межлабораторных сравнительных испытаний (межлабораторных сличений)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Измеряемые величины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 (методы) испытаний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из государств –членов Евразийского экономического союза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участия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(количество неудовлетворительных (сомнительных) результатов)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7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 Настоящая форма заполняется в следующем порядке:</w:t>
      </w:r>
    </w:p>
    <w:bookmarkEnd w:id="173"/>
    <w:bookmarkStart w:name="z23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в графе 2 указываются наименования и номера технических регламентов Евразийского экономического союза, в отношении которых выполнены программы межлабораторных сравнительных испытаний (межлабораторных сличений) (далее – программы межлабораторных сличений);</w:t>
      </w:r>
    </w:p>
    <w:bookmarkEnd w:id="174"/>
    <w:bookmarkStart w:name="z23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 в графе 3 указывается информация об идентификации программы межлабораторных сличений, определенной провайдером (например, идентификационный номер программы, ее отнесение к техническому регламенту Евразийского экономического союза, код, присвоенный в информационном фонде по обеспечению единства измерений государства – члена Союза согласно законодательству этого государства-члена); </w:t>
      </w:r>
    </w:p>
    <w:bookmarkEnd w:id="175"/>
    <w:bookmarkStart w:name="z24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 в графе 4 указывается информация об образце для проверки квалификации, который использовался для выполнения программы межлабораторных сличений;</w:t>
      </w:r>
    </w:p>
    <w:bookmarkEnd w:id="176"/>
    <w:bookmarkStart w:name="z24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 в графе 5 указывается информация о характеристиках образца, которые определялись как измеряемые величины;</w:t>
      </w:r>
    </w:p>
    <w:bookmarkEnd w:id="177"/>
    <w:bookmarkStart w:name="z24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 в графе 6 указываются методики (методы) исследований (испытаний) и измерений, включенные в перечни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и осуществления оценки соответствия объектов технического регулирования, которые были использованы при выполнении программы межлабораторных сличений;</w:t>
      </w:r>
    </w:p>
    <w:bookmarkEnd w:id="178"/>
    <w:bookmarkStart w:name="z24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 в графе 7 указывается общее количество участников межлабораторных сравнительных испытаний (межлабораторных сличений);</w:t>
      </w:r>
    </w:p>
    <w:bookmarkEnd w:id="179"/>
    <w:bookmarkStart w:name="z24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 в графе 8 указывается количество участников межлабораторных сравнительных испытаний (межлабораторных сличений), получивших неудовлетворительные (сомнительные) результаты оценки характеристик функционирования, и количество участников таких испытаний, которые получили замечания по результатам участия в программе межлабораторных сличений.</w:t>
      </w:r>
    </w:p>
    <w:bookmarkEnd w:id="1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