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0e32" w14:textId="a960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2016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03.07.2016 -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«О классификаторах, используемых для заполнения таможенных деклараций»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за исключением абзацев шестого и седьмого подпункта «а» пункта 1, подпункта «б»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предусмотренных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 и седьмой подпункта «а»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>1 и подпункт «б»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предусмотренных настоящим Решением, вступают в силу с даты вступления в силу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но не ранее чем по истечении 30 календарных дней с даты официального опубликования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предусмотренных настоящим Решением, вступает в силу с 1 июля 2016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2016 г. № 54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ИЗМЕНЕНИЯ,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вносимые в Решение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от 20 сентября 2010 г. № 378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 по уплате таможенных платежей (Приложение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подразделе 1.1: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КМ слова «, входящими в право» заменить словами «государств – членов»;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ВС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90"/>
        <w:gridCol w:w="1410"/>
      </w:tblGrid>
      <w:tr>
        <w:trPr>
          <w:trHeight w:val="30" w:hRule="atLeast"/>
        </w:trPr>
        <w:tc>
          <w:tcPr>
            <w:tcW w:w="1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ввозной таможенной пошлины в отношении гражданских пассажирских самолетов подсубпозиций 8802 40 003 5 и 8802 40 003 6 ТН ВЭД ЕАЭС, ввозимых по 31 декабря 2023 г. включительно на таможенную территорию Евразийского экономического союза в целях их использования в пределах территории государства – члена Евразийского экономического союза, в которое осуществляется ввоз этого товара, а также для перевозок между территориями государств – членов Евразийского экономического союза и (или) для международных перевозок</w:t>
            </w:r>
          </w:p>
        </w:tc>
        <w:tc>
          <w:tcPr>
            <w:tcW w:w="1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ВС*»;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СР слова «в Республику Армения, Республику Беларусь, Республику Казахстан и Кыргызскую Республику» заменить словами «на таможенную территорию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НН дополнить позицией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90"/>
        <w:gridCol w:w="1410"/>
      </w:tblGrid>
      <w:tr>
        <w:trPr>
          <w:trHeight w:val="30" w:hRule="atLeast"/>
        </w:trPr>
        <w:tc>
          <w:tcPr>
            <w:tcW w:w="1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«Тарифная преференция в отношении товаров, происходящих из Социалистической Республики Вьетнам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1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ВТ»;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ЕШ 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90"/>
        <w:gridCol w:w="1410"/>
      </w:tblGrid>
      <w:tr>
        <w:trPr>
          <w:trHeight w:val="30" w:hRule="atLeast"/>
        </w:trPr>
        <w:tc>
          <w:tcPr>
            <w:tcW w:w="1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ввозной таможенной пошлины в отношении товаров, ввозимых на территорию Республики Армения для целей строительства третьей линии электропередачи Иран – Армения согласно перечню товаров, ввозимых на территорию Республики Армения для целей строительства третьей линии электропередачи Иран – Армения, утвержденному Решением Совета Евразийской экономической комиссии от 6 апреля 2016 г. № 24</w:t>
            </w:r>
          </w:p>
        </w:tc>
        <w:tc>
          <w:tcPr>
            <w:tcW w:w="1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ЛЭ»;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79"/>
        <w:gridCol w:w="1421"/>
      </w:tblGrid>
      <w:tr>
        <w:trPr>
          <w:trHeight w:val="30" w:hRule="atLeast"/>
        </w:trPr>
        <w:tc>
          <w:tcPr>
            <w:tcW w:w="12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ввозной таможенной пошлины в отношении товаров и транспортных средств, ввозимых резидентами Финляндской Республики на арендуемую Финляндской Республикой территорию Сайменского канала для осуществления работ, предусмотренных Договором между 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года, и эксплуатации арендуемой территории</w:t>
            </w:r>
          </w:p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СК»;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МВ подраздела 2.1 слово «соглашений» заменить словом «договоров»;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2.2: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пункта 2.2.2 слово «соглашениями» заменить словом «договорами»;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МВ слово «соглашений» заменить словом «договоров»;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пункта 2.3.2 подраздела 2.3 слово «соглашениями» заменить словом «договорами»;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2.4: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пункта 2.4.2 слово «соглашениями» заменить словом «договорами»;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МВ слово «соглашений» заменить словом «договоров»;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разделе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4.1: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пункта 4.1.2 слово «соглашениями» заменить словом «договорами»;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МВ и МУ слово «соглашений» заменить словом «договоров»;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4.2: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пункта 4.2.2 слово «соглашениями» заменить словом «договорами»;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МВ и МУ слово «соглашений» заменить словом «договоров»;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МЯ и МП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4"/>
        <w:gridCol w:w="1286"/>
      </w:tblGrid>
      <w:tr>
        <w:trPr>
          <w:trHeight w:val="30" w:hRule="atLeast"/>
        </w:trPr>
        <w:tc>
          <w:tcPr>
            <w:tcW w:w="12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«Освобождение от уплаты таможенной пошлины в отношении товаров, ввозимых в соответствии с Соглашением о ввозе материалов образовательного, научного и культурного характера от 17 июня 1950 года и Протоколом к нему от 26 ноября 1976 года 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</w:t>
            </w:r>
          </w:p>
        </w:tc>
      </w:tr>
      <w:tr>
        <w:trPr>
          <w:trHeight w:val="30" w:hRule="atLeast"/>
        </w:trPr>
        <w:tc>
          <w:tcPr>
            <w:tcW w:w="12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таможенной пошлины в отношении товаров, ввозимых в соответствии с Соглашением об общих условиях и механизме поддержки развития производственной кооперации предприятий и отраслей государств – участников Содружества Независимых Государств от 23 декабря 1993 года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МП»;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МО слово «соглашениями» заменить словом «договорами»;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МЭ, МТ, ММ и МН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4"/>
        <w:gridCol w:w="1286"/>
      </w:tblGrid>
      <w:tr>
        <w:trPr>
          <w:trHeight w:val="30" w:hRule="atLeast"/>
        </w:trPr>
        <w:tc>
          <w:tcPr>
            <w:tcW w:w="12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«Освобождение от уплаты таможенной пошлины в отношении товаров, перемещаемых в рамках Соглашения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аттестации, от 10 февраля 1995 года 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</w:tr>
      <w:tr>
        <w:trPr>
          <w:trHeight w:val="30" w:hRule="atLeast"/>
        </w:trPr>
        <w:tc>
          <w:tcPr>
            <w:tcW w:w="12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таможенной пошлины в отношении российского природного газа, вывозимого в Турецкую Республику через акваторию Черного моря в соответствии с Соглашением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от 15 декабря 1997 года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</w:t>
            </w:r>
          </w:p>
        </w:tc>
      </w:tr>
      <w:tr>
        <w:trPr>
          <w:trHeight w:val="30" w:hRule="atLeast"/>
        </w:trPr>
        <w:tc>
          <w:tcPr>
            <w:tcW w:w="12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таможенной пошлины в отношении товаров, перемещаемых в соответствии с Соглашением между Правительством Российской Федерации и Правительством Монголии о деятельности Российско-Монгольской компании с ограниченной ответственностью «Монголросцветмет» от 25 апреля 2007 года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12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таможенной пошлины в отношении товаров, ввозимых на территорию Российской Федерации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МН»;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4.3: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пункта 4.3.2 слово «соглашениями» заменить словом «договорами»;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К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97"/>
        <w:gridCol w:w="1163"/>
      </w:tblGrid>
      <w:tr>
        <w:trPr>
          <w:trHeight w:val="30" w:hRule="atLeast"/>
        </w:trPr>
        <w:tc>
          <w:tcPr>
            <w:tcW w:w="1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акциза в отношении подакцизных товаров, ввозимых в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– участников Содружества Независимых Государств от 23 декабря 1993 года</w:t>
            </w:r>
          </w:p>
        </w:tc>
        <w:tc>
          <w:tcPr>
            <w:tcW w:w="1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К»;</w:t>
            </w:r>
          </w:p>
        </w:tc>
      </w:tr>
    </w:tbl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4.4: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пункта 4.4.2 слово «соглашениями» заменить словом «договорами»;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МВ и МУ слово «соглашений» заменить словом «договоров»;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МЯ и МП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4"/>
        <w:gridCol w:w="1286"/>
      </w:tblGrid>
      <w:tr>
        <w:trPr>
          <w:trHeight w:val="30" w:hRule="atLeast"/>
        </w:trPr>
        <w:tc>
          <w:tcPr>
            <w:tcW w:w="12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«Освобождение от уплаты НДС в отношении товаров, ввозимых в Российскую Федерацию в соответствии с Соглашением о ввозе материалов образовательного, научного и культурного характера от 17 июня 1950 года и Протоколом к нему от 26 ноября 1976 года 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</w:t>
            </w:r>
          </w:p>
        </w:tc>
      </w:tr>
      <w:tr>
        <w:trPr>
          <w:trHeight w:val="30" w:hRule="atLeast"/>
        </w:trPr>
        <w:tc>
          <w:tcPr>
            <w:tcW w:w="12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– участников Содружества Независимых Государств от 23 декабря 1993 года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МП»;</w:t>
            </w:r>
          </w:p>
        </w:tc>
      </w:tr>
    </w:tbl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МК слово «соглашений» заменить словом «договоров»;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МЭ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4"/>
        <w:gridCol w:w="1286"/>
      </w:tblGrid>
      <w:tr>
        <w:trPr>
          <w:trHeight w:val="30" w:hRule="atLeast"/>
        </w:trPr>
        <w:tc>
          <w:tcPr>
            <w:tcW w:w="12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НДС в отношении товаров, ввозимых в Российскую Федерацию в рамках Соглашения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аттестации, от 10 февраля 1995 года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МЭ»;</w:t>
            </w:r>
          </w:p>
        </w:tc>
      </w:tr>
    </w:tbl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МН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14"/>
        <w:gridCol w:w="1286"/>
      </w:tblGrid>
      <w:tr>
        <w:trPr>
          <w:trHeight w:val="30" w:hRule="atLeast"/>
        </w:trPr>
        <w:tc>
          <w:tcPr>
            <w:tcW w:w="12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НДС в отношении товаров, ввозимых в Российскую Федерацию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МН»;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наименовании пункта 5.2.1 подраздела 5.2 слово «соглашениями» заменить словом «договорами»;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разделе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пункта 6.2.1 подраздела 6.2 слово «соглашениями» заменить словом «договорами»;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6.4.2 подраздела 6.4: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слово «соглашениями» заменить словом «договорами»;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МО слово «соглашений» заменить словом «договоров»;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дополнить сноской со знаком «*»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Указывается также в случае применения льгот по уплате ввозных таможенных пошлин, установленных абзацем вторым подпункта 2 пункта 44 приложения № 3 к Договору от 10 октября 2014 года о присоединении Республики Армения к Договору о Евразийском экономическом союзе от 29 мая 2014 года и абзацем вторым подпункта 2 пункта 46 приложения №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и сведений, используемых при таможенном декларировании (Приложение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01011, 01017, 01018, 01021, 01022, 01031, 01041, 01042, 01061 и 01062 заменить позициями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5"/>
        <w:gridCol w:w="12425"/>
      </w:tblGrid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«01011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экспорт и (или) импорт товаров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01017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экспорт и (или) импорт товаров, в отношении которых введено автоматическое лицензирование (наблюдение)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01018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Разъяснение (заключение) по вопросам выдачи: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лицензии на экспорт и (или) импорт товаров (озоноразрушающих веществ и содержащей их продукции, ядовитых веществ, не являющихся прекурсорами наркотических средств и психотропных веществ);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заключения (разрешения) на ввоз лекарственных средств и фармацевтических субстанций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ввоз и (или) вывоз гражданского и служебного оружия, его основных (составных) частей и патронов к нему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(сертификат, удостоверение), предусмотренное Конвенцией о международной торговле видами дикой фауны и флоры, находящимися под угрозой исчезновения, от 3 марта 1973 года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ввоз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ввоз средств защиты растений (пестицидов)»;</w:t>
            </w:r>
          </w:p>
        </w:tc>
      </w:tr>
    </w:tbl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01073, 01074, 01081 – 01083, 01085, 01091 – 01093, 01101, 01102, 01111, 01112, 01121, 01122, 01131 и 01132 заменить позициями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5"/>
        <w:gridCol w:w="12425"/>
      </w:tblGrid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«01081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(разрешение) на ввоз: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незарегистрированных лекарственных средств и фармацевтических субстанций, предназначенных для проведения клинических исследований, экспертизы, осуществления государственной регистрации, оказания медицинской помощи по жизненным показаниям конкретного пациента либо ограниченному контингенту пациентов с редкой и (или) особо тяжелой патологией;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зарегистрированных лекарственных средств и фармацевтических субстанций, предназначенных для проведения клинических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зарегистрированных или незарегистрированных лекарственных средств и фармацевтических субстанций, предназначенных для оказания гуманитарной помощи (содействия), помощи при чрезвычайных ситуациях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ввоз и (или) вывоз шифровальных (криптографических) средств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01095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ввоз и (или) вывоз специальных технических средств, предназначенных для негласного получения информации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вывоз культурных ценностей, документов национальных архивных фондов и оригиналов архивных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вывоз коллекционных материалов по минералогии, палеонтологии, костей ископаемых животных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вывоз диких живых животных, отдельных дикорастущих растений и дикорастущего лекарственного сырья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01125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вывоз редких и находящихся под угрозой исчезновения видов диких живых животных и дикорастущих растений, включенных в красные книги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ввоз и (или) вывоз органов и тканей человека, крови и ее компонентов, образцов биологических материалов человека»;</w:t>
            </w:r>
          </w:p>
        </w:tc>
      </w:tr>
    </w:tbl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01143 изложить в следующей редакции: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5"/>
        <w:gridCol w:w="12425"/>
      </w:tblGrid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«01143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государственного контроля на ввоз и (или) вывоз: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драгоценных камней;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драгоценных металлов и сырьевых товаров, содержащих драгоценные металлы»;</w:t>
            </w:r>
          </w:p>
        </w:tc>
      </w:tr>
    </w:tbl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01191 дополнить словами «, за исключением документа, указанного в позиции с кодом 01192»;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01192 слова «(для Российской Федерации)»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01193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позицией с кодом 01201 дополнить позицией следующего содержания: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5"/>
        <w:gridCol w:w="12425"/>
      </w:tblGrid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«01194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уполномоченного органа, подтверждающая принадлежность продукции к лекарственным средствам, товарам медицинского и ветеринарного назначения при условии их размещения на аптечных складах получателя, осуществляющего приемку, хранение, а после прохождения процедуры подтверждения соответствия – отпуск и реализацию лекарственных средств, товаров медицинского и ветеринарного назначения, и гарантию заявителя о его ответственности (для Кыргызской Республики)»;</w:t>
            </w:r>
          </w:p>
        </w:tc>
      </w:tr>
    </w:tbl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01209 дополнить позицией следующего содержания: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5"/>
        <w:gridCol w:w="12425"/>
      </w:tblGrid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«01210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соблюдение запретов и ограничений (временных мер), введенных в Республике Армения в одностороннем порядке»;</w:t>
            </w:r>
          </w:p>
        </w:tc>
      </w:tr>
    </w:tbl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01221 дополнить позицией следующего содержания: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5"/>
        <w:gridCol w:w="12425"/>
      </w:tblGrid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«01225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соблюдение запретов и ограничений (временных мер), введенных в Кыргызской Республике в одностороннем порядке»;</w:t>
            </w:r>
          </w:p>
        </w:tc>
      </w:tr>
    </w:tbl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01241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5"/>
        <w:gridCol w:w="12425"/>
      </w:tblGrid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«01241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(сведения о сертификате) международной схемы сертификации необработанных природных алмазов (сертификат Кимберлийского процесса)»;</w:t>
            </w:r>
          </w:p>
        </w:tc>
      </w:tr>
    </w:tbl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01301 дополнить позициями следующего содержания: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5"/>
        <w:gridCol w:w="12425"/>
      </w:tblGrid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«01311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вывоз минерального сырья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01321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(разрешительный документ) на ввоз и (или) вывоз опасных отходов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01332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компетентного органа государства-экспортера на вывоз конкретной партии наркотических средств, психотропных веществ и их прекурсоров либо официальное уведомление этого органа о том, что указанное разрешение не требуется»;</w:t>
            </w:r>
          </w:p>
        </w:tc>
      </w:tr>
    </w:tbl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 6 после позиции с кодом 06017 дополнить позицией следующего содержания: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5"/>
        <w:gridCol w:w="12425"/>
      </w:tblGrid>
      <w:tr>
        <w:trPr>
          <w:trHeight w:val="30" w:hRule="atLeast"/>
        </w:trPr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«06018</w:t>
            </w:r>
          </w:p>
        </w:tc>
        <w:tc>
          <w:tcPr>
            <w:tcW w:w="1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о происхождении товара формы EAV»;</w:t>
            </w:r>
          </w:p>
        </w:tc>
      </w:tr>
    </w:tbl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раздел 10 после позиции с кодом 10044 дополнить позициями следующего содержания: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3"/>
        <w:gridCol w:w="12427"/>
      </w:tblGrid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«10050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включении радиоэлектронных средств и (или) высокочастотных устройств гражданского назначения, в том числе встроенных либо входящих в состав других товаров, в единый реестр радиоэлектронных средств и высокочастотных устройств гражданского назначения, в том числе встроенных либо входящих в состав других товаров, при ввозе которых на таможенную территорию Евразийского экономического союза не требуется представление лицензии или заключения (разрешительного документа)</w:t>
            </w:r>
          </w:p>
        </w:tc>
      </w:tr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лекарственных средств и фармацевтических субстанций, содержащиеся в соответствующей информационной системе государственного реестра, или в регистрационном удостоверении, или в выписке из государственного реестра лекарственных средств</w:t>
            </w:r>
          </w:p>
        </w:tc>
      </w:tr>
      <w:tr>
        <w:trPr>
          <w:trHeight w:val="30" w:hRule="atLeast"/>
        </w:trPr>
        <w:tc>
          <w:tcPr>
            <w:tcW w:w="1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  <w:tc>
          <w:tcPr>
            <w:tcW w:w="1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включении соответствующей нотификации в единый реестр нотификаций о характеристиках шифровальных (криптографических) средств и товаров, их содержащих».</w:t>
            </w:r>
          </w:p>
        </w:tc>
      </w:tr>
    </w:tbl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2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налогов, сборов и иных платежей, взимание которых возложено на таможенные органы (Приложение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подраздел 2.4 дополнить позицией 2.4.17 следующего содержания: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«2.4.17. Акциз на средние дистилляты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4260»;</w:t>
            </w:r>
          </w:p>
        </w:tc>
      </w:tr>
    </w:tbl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подразделе 2.5: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2.5.1 после позиции с кодом 4172 дополнить позицией следующего содержания: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отсрочки уплаты акциза на средние дистилляты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4262»;</w:t>
            </w:r>
          </w:p>
        </w:tc>
      </w:tr>
    </w:tbl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2.5.2 после позиции с кодом 4173 дополнить позицией следующего содержания: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«Проценты за предоставление рассрочки уплаты акциза на средние дистилляты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4263»;</w:t>
            </w:r>
          </w:p>
        </w:tc>
      </w:tr>
    </w:tbl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подраздел 2.6 после позиции с кодом 7015 дополнить позициями следующего содержания: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«Средства, полученные в результате применения мер гражданско-правовой и административной ответственности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полученные в результате применения мер уголовной ответственности по делам, возбужденным таможенными органами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7040»;</w:t>
            </w:r>
          </w:p>
        </w:tc>
      </w:tr>
    </w:tbl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подразделе 2.7: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9120 после слов «средства (шасси)» дополнить словами «и прицепы к ним», после слов «средств (шасси)» дополнить словами «и прицепов к ним»;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9130 после слов «средства (шасси)» дополнить словами «и прицепы к ним»;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9130 дополнить позициями следующего содержания: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96"/>
        <w:gridCol w:w="2004"/>
      </w:tblGrid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«Утилизационный сбор, уплачиваемый за самоходные машины и прицепы к ним, ввозимые в Российскую Федерацию, кроме самоходных машин и прицепов к ним, ввозимых с территории Республики Беларусь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1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Утилизационный сбор, уплачиваемый за самоходные машины и прицепы к ним, ввозимые в Российскую Федерацию с территории Республики Беларусь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9160».</w:t>
            </w:r>
          </w:p>
        </w:tc>
      </w:tr>
    </w:tbl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валют (Приложение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после позиции с кодом 072 дополнить позицией следующего содержания: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38"/>
        <w:gridCol w:w="2352"/>
        <w:gridCol w:w="9410"/>
      </w:tblGrid>
      <w:tr>
        <w:trPr>
          <w:trHeight w:val="255" w:hRule="atLeast"/>
        </w:trPr>
        <w:tc>
          <w:tcPr>
            <w:tcW w:w="2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«933</w:t>
            </w:r>
          </w:p>
        </w:tc>
        <w:tc>
          <w:tcPr>
            <w:tcW w:w="2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BYN</w:t>
            </w:r>
          </w:p>
        </w:tc>
        <w:tc>
          <w:tcPr>
            <w:tcW w:w="9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Белорусский рубль»;</w:t>
            </w:r>
          </w:p>
        </w:tc>
      </w:tr>
    </w:tbl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с кодом 974 дополнить знаком сноски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позиции с кодом 428 знак сноски «*» заменить знаком сноски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позиции с кодом 950 знак сноски «**» заменить знаком сноски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позиции с кодом 952 знак сноски «***» заменить знаком сноски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 сносках: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первой сноской дополнить сноской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Применяется для денежных средств, уплаченных до 30 июня 2016 г. включительно.»;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знаки сносок «*», «**» и «***» заменить соответственно знаками сносок «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