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2e80" w14:textId="66d2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июня 2016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15.07.2016 -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первым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утвержденный Решением Коллегии Евразийской экономической комиссии от 22 сентября 2015 г. № 122,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2016 г. № 71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Порядок функционирования систем электронных</w:t>
      </w:r>
      <w:r>
        <w:br/>
      </w:r>
      <w:r>
        <w:rPr>
          <w:rFonts w:ascii="Times New Roman"/>
          <w:b/>
          <w:i w:val="false"/>
          <w:color w:val="000000"/>
        </w:rPr>
        <w:t>
паспортов транспортных средств (электронных паспортов шасси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средств) и электронных паспортов самоходных машин</w:t>
      </w:r>
      <w:r>
        <w:br/>
      </w:r>
      <w:r>
        <w:rPr>
          <w:rFonts w:ascii="Times New Roman"/>
          <w:b/>
          <w:i w:val="false"/>
          <w:color w:val="000000"/>
        </w:rPr>
        <w:t>
и других видов техники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Территория, на которой допускается регистрация транспортного средства.».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Пункт 10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дополнить подпунктом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территория, на которой допускается регистрация транспортного средства.».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 приложения № 7 к указанному Порядку дополнить подпунктом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в поле «территория, на которой допускается регистрация транспортного средства» – запись «Евразийский экономический союз» (если произведенное транспортное средство соответствует требованиям, установленным решениями органов Союза и предъявляемым при производстве таких транспортных средств для их свободного обращения) или «ограниченная территория» (если произведенное транспортное средство не соответствует требованиям, установленным решениями органов Союза и предъявляемым при производстве таких транспортных средств для их свободного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поле заполняется в случае, если в поле «сведения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производстве транспортного средства с применением льготного режима» была произведена запись «модель транспортного средства произведена в льготном режиме».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поле используется в соответствии с законодательством государства-члена в случае, если была произведена запись «ограниченная территория» и в законодательстве государства-члена, в  котором предполагается регистрация транспортного средства, в целях реализации решений органов Союза установлены ограничения, действующие в отношении регистрации транспортных средств.».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