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8f76" w14:textId="84c8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апреля 2015 г. № 30 и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2016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Решение вступило в силу 30.09.2016 - сайт Евразийского экономического союза.</w:t>
      </w:r>
    </w:p>
    <w:bookmarkStart w:name="z32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Признать утратившими силу решения Коллегии Евразийской экономической комиссии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Настоящее Решение вступает в силу по истечении 30 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августа 2016 г. № 99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от 21 апреля 2015 г. № 30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абзацами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продукции, содержащей озоноразрушающие вещества, согласно приложению № 20;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Положением о ввозе на таможенную территорию Евразийского экономического союза лекарственных средств согласно приложению № 21.".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>слова "приложению № 20" заменить словами "приложению № 22".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Приложение № 1 к указанному Решению перед разделом 1.2 дополнить разделом 1.1 следующего содержания: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"1.1. Озоноразрушающие вещества и продукция, содержащая озоноразрушающие вещества, запрещенные к ввозу и вывозу*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Список A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5"/>
        <w:gridCol w:w="2353"/>
        <w:gridCol w:w="2473"/>
        <w:gridCol w:w="4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12"/>
        </w:tc>
        <w:tc>
          <w:tcPr>
            <w:tcW w:w="4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</w:t>
            </w:r>
          </w:p>
          <w:bookmarkEnd w:id="13"/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CFCl3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фтортрихлорметан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2903 77 100 0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CF2Cl2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(ХФУ-12)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дифтордихлорметан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2903 77 200 0 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C2F3Cl3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(ХФУ-113)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1,1,2-трифтортрихлорэтан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77 300 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C2F4Cl2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(ХФУ-114)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1,1,2,2-тетрафтордихлорэтан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77 400 0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C2F5Cl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(ХФУ-115)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пентафторхлорэтан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2903 77 500 0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II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CF2BrCl</w:t>
            </w:r>
          </w:p>
          <w:bookmarkEnd w:id="20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(Галон 1211)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дифторхлорбромметан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2903 76 100 0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CF3Br</w:t>
            </w:r>
          </w:p>
          <w:bookmarkEnd w:id="21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(Галон 1301)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трифторбромметан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2903 76 200 0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C2F4Br2</w:t>
            </w:r>
          </w:p>
          <w:bookmarkEnd w:id="22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(Галон 2402)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1,1,2,2-тетрафтордибромэтан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76 900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B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24"/>
        </w:tc>
        <w:tc>
          <w:tcPr>
            <w:tcW w:w="4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CF3Cl</w:t>
            </w:r>
          </w:p>
          <w:bookmarkEnd w:id="26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(ХФУ-13)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трифторхлорметан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C2FCl5</w:t>
            </w:r>
          </w:p>
          <w:bookmarkEnd w:id="27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(ХФУ-111)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фторпентахлорэтан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C2F2Cl4</w:t>
            </w:r>
          </w:p>
          <w:bookmarkEnd w:id="28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(ХФУ-112)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дифтортетрахлорэтаны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C3FCl7</w:t>
            </w:r>
          </w:p>
          <w:bookmarkEnd w:id="29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(ХФУ-211)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фторгептахлорпропаны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C3F2Cl6</w:t>
            </w:r>
          </w:p>
          <w:bookmarkEnd w:id="30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(ХФУ-212)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дифторгексахлорпропаны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C3F3Cl5</w:t>
            </w:r>
          </w:p>
          <w:bookmarkEnd w:id="31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(ХФУ-213)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трифторпентахлорпропаны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C3F4Cl4</w:t>
            </w:r>
          </w:p>
          <w:bookmarkEnd w:id="32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(ХФУ-214)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тетрафтортетрахлорпропаны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C3F5Cl3</w:t>
            </w:r>
          </w:p>
          <w:bookmarkEnd w:id="33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(ХФУ-215)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пентафтортрихлорпропаны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C3F6Cl2</w:t>
            </w:r>
          </w:p>
          <w:bookmarkEnd w:id="34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(ХФУ-216)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гексафтордихлорпропаны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C3F7Cl</w:t>
            </w:r>
          </w:p>
          <w:bookmarkEnd w:id="35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(ХФУ-217)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гептафторхлорпропаны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77 900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II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CСl4</w:t>
            </w:r>
          </w:p>
          <w:bookmarkEnd w:id="37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четыреххлористый углерод (ЧХУ) или тетрахлорметан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2903 14 000 0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III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C2H3Cl3**</w:t>
            </w:r>
          </w:p>
          <w:bookmarkEnd w:id="39"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метилхлороформ (МХФ),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т.е. 1,1,1-трихлорэтан 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2903 19 100 0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Список C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2"/>
        <w:gridCol w:w="2791"/>
        <w:gridCol w:w="313"/>
        <w:gridCol w:w="50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41"/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II</w:t>
            </w:r>
          </w:p>
          <w:bookmarkEnd w:id="42"/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CHFBr2</w:t>
            </w:r>
          </w:p>
          <w:bookmarkEnd w:id="43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(ГБФУ-21B2)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фтордибромметан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CHF2Br</w:t>
            </w:r>
          </w:p>
          <w:bookmarkEnd w:id="44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(ГБФУ-22B1)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дифторбромметан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CH2FBr</w:t>
            </w:r>
          </w:p>
          <w:bookmarkEnd w:id="45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(ГБФУ-31B1)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фторбромметан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C2HFBr4</w:t>
            </w:r>
          </w:p>
          <w:bookmarkEnd w:id="46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(ГБФУ-21B4)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фтортетрабромэтан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C2HF2Br3</w:t>
            </w:r>
          </w:p>
          <w:bookmarkEnd w:id="47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(ГБФУ-23B3)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дифтортрибромэтан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C2HF3Br2</w:t>
            </w:r>
          </w:p>
          <w:bookmarkEnd w:id="48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(ГБФУ-23B2)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трифтордибромэтан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C2HF4Br</w:t>
            </w:r>
          </w:p>
          <w:bookmarkEnd w:id="49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(ГБФУ-24B1)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тетрафторбромэтан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C2H2FBr3</w:t>
            </w:r>
          </w:p>
          <w:bookmarkEnd w:id="50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(ГБФУ-31B3)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фтортрибромэтан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C2H2F2Br2</w:t>
            </w:r>
          </w:p>
          <w:bookmarkEnd w:id="51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(ГБФУ-32B2)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дифтордибромэтан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C2H2F3Br</w:t>
            </w:r>
          </w:p>
          <w:bookmarkEnd w:id="52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(ГБФУ-33B1)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трифторбромэтан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C2H3FBr2</w:t>
            </w:r>
          </w:p>
          <w:bookmarkEnd w:id="53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(ГБФУ-41B2)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фтордибромэтан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C2H3F2Br</w:t>
            </w:r>
          </w:p>
          <w:bookmarkEnd w:id="54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(ГБФУ-42B1)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дифторбромэтан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C2H4FBr</w:t>
            </w:r>
          </w:p>
          <w:bookmarkEnd w:id="55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(ГБФУ-51B1)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фторбромэтан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C3HFBr6</w:t>
            </w:r>
          </w:p>
          <w:bookmarkEnd w:id="56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(ГБФУ-21B6)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фторгексабромпропан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C3HF2Br5</w:t>
            </w:r>
          </w:p>
          <w:bookmarkEnd w:id="57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(ГБФУ-22B5)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дифторпентабромпропан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C3HF3Br4</w:t>
            </w:r>
          </w:p>
          <w:bookmarkEnd w:id="58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(ГБФУ-23B4)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трифтортетрабромпропан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C3HF4Br3</w:t>
            </w:r>
          </w:p>
          <w:bookmarkEnd w:id="59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(ГБФУ-24B3)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тетрафтортрибромпропан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C3HF5Br2</w:t>
            </w:r>
          </w:p>
          <w:bookmarkEnd w:id="60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(ГБФУ-25B2)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пентафтордибромпропан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C3HF6Br</w:t>
            </w:r>
          </w:p>
          <w:bookmarkEnd w:id="61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(ГБФУ-26B1)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C3H2FBr5</w:t>
            </w:r>
          </w:p>
          <w:bookmarkEnd w:id="62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(ГБФУ-31B5)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фторпентабромпропан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C3H2F2Br4</w:t>
            </w:r>
          </w:p>
          <w:bookmarkEnd w:id="63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(ГБФУ-32B4)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дифтортетрабромпропан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C3H2F3Br3</w:t>
            </w:r>
          </w:p>
          <w:bookmarkEnd w:id="64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(ГБФУ-33B3)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трифтортрибромпропан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C3H2F4Br2</w:t>
            </w:r>
          </w:p>
          <w:bookmarkEnd w:id="65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(ГБФУ-34B2)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тетрафтордибромпропан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C3H2F5Br</w:t>
            </w:r>
          </w:p>
          <w:bookmarkEnd w:id="66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(ГБФУ-35B1)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C3H3FBr4</w:t>
            </w:r>
          </w:p>
          <w:bookmarkEnd w:id="67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(ГБФУ-41B4)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фтортетрабромпропан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C3H3F2Br3</w:t>
            </w:r>
          </w:p>
          <w:bookmarkEnd w:id="68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(ГБФУ-42B3)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дифтортрибромпропан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C3H3F3Br2</w:t>
            </w:r>
          </w:p>
          <w:bookmarkEnd w:id="69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(ГБФУ-43B2)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трифтордибромпропан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C3H3F4Br</w:t>
            </w:r>
          </w:p>
          <w:bookmarkEnd w:id="70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(ГБФУ-44B1)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C3H4FBr3</w:t>
            </w:r>
          </w:p>
          <w:bookmarkEnd w:id="71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(ГБФУ-51B3)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фтортрибромпропан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C3H4F2Br2</w:t>
            </w:r>
          </w:p>
          <w:bookmarkEnd w:id="72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(ГБФУ-52B2)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C3H4F3Br</w:t>
            </w:r>
          </w:p>
          <w:bookmarkEnd w:id="73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(ГБФУ-53B1)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74"/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C3H5FBr2</w:t>
            </w:r>
          </w:p>
          <w:bookmarkEnd w:id="75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(ГБФУ-61B2)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фтордибромпропан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C3H5F2Br</w:t>
            </w:r>
          </w:p>
          <w:bookmarkEnd w:id="76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(ГБФУ-62B1)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C3H6FBr</w:t>
            </w:r>
          </w:p>
          <w:bookmarkEnd w:id="77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(ГБФУ-71B1)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фторбромпропан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СН2ВrСl</w:t>
            </w:r>
          </w:p>
          <w:bookmarkEnd w:id="79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бромхлорметан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79 900 0</w:t>
            </w:r>
          </w:p>
        </w:tc>
      </w:tr>
    </w:tbl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Список D ***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5"/>
        <w:gridCol w:w="6145"/>
      </w:tblGrid>
      <w:tr>
        <w:trPr>
          <w:trHeight w:val="30" w:hRule="atLeast"/>
        </w:trPr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81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Охлаждающие смеси</w:t>
            </w:r>
          </w:p>
          <w:bookmarkEnd w:id="82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3824 71 000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3824 72 000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3824 74 000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3824 75 000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3824 76 000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3824 77 000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3824 78 000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3824 79 000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Кондиционеры и тепловые насосы</w:t>
            </w:r>
          </w:p>
          <w:bookmarkEnd w:id="83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8415 81 00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8415 82 000 0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 69 000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Холодильники </w:t>
            </w:r>
          </w:p>
          <w:bookmarkEnd w:id="84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8418 10 200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8418 10 800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 69 000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Льдогенераторы, молокоохладители</w:t>
            </w:r>
          </w:p>
          <w:bookmarkEnd w:id="85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Морозильные камеры </w:t>
            </w:r>
          </w:p>
          <w:bookmarkEnd w:id="86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8418 10 200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8418 10 800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8418 30 200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8418 30 800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8418 40 200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8418 40 800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 69 000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Осушители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 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8479 89 970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8479 89 970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</w:tr>
      <w:tr>
        <w:trPr>
          <w:trHeight w:val="30" w:hRule="atLeast"/>
        </w:trPr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89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Изоляционные щиты, плиты, панели и покрытия труб пористые, с использованием в качестве вспенивателей порообразователей, содержащих озоноразрушающие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3921 11 000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3921 12 000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3921 13 100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3921 13 900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3921 14 000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3921 19 000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</w:tr>
      <w:tr>
        <w:trPr>
          <w:trHeight w:val="30" w:hRule="atLeast"/>
        </w:trPr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Компоненты, составы на основе полиэфиров (полиолов) для производства вспененного полиуретана (компонент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3907 20 200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3907 20 200 9</w:t>
            </w:r>
          </w:p>
          <w:bookmarkEnd w:id="93"/>
        </w:tc>
      </w:tr>
      <w:tr>
        <w:trPr>
          <w:trHeight w:val="30" w:hRule="atLeast"/>
        </w:trPr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Переносные огнетушители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8424 10 000 0</w:t>
            </w:r>
          </w:p>
        </w:tc>
      </w:tr>
    </w:tbl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Список E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793"/>
        <w:gridCol w:w="74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96"/>
        </w:tc>
        <w:tc>
          <w:tcPr>
            <w:tcW w:w="7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</w:t>
            </w:r>
          </w:p>
          <w:bookmarkEnd w:id="97"/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CH3Br</w:t>
            </w:r>
          </w:p>
          <w:bookmarkEnd w:id="98"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бромистый метил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2903 39 110 0 </w:t>
            </w:r>
          </w:p>
        </w:tc>
      </w:tr>
    </w:tbl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*За исключением ввоза на таможенную территорию Евразийского экономического союза и (или) вывоза с таможенной территории Евразийского экономического союза озоноразрушающих веществ и продукции, содержащей озоноразрушающие вещества, указанных в настоящем разделе, в случаях, установленных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продукции, содержащей озоноразрушающие вещества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30).".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**Настоящая формула не относится к 1,1,2-трихлорэтану.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 За исключением продукции, содержащей озоноразрушающие вещества, контролируемой системой экспортного контроля государства – члена Евразийского экономического союза, являющегося государством отправления (государством назначения) указанных товаров.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1"/>
        <w:gridCol w:w="10559"/>
      </w:tblGrid>
      <w:tr>
        <w:trPr>
          <w:trHeight w:val="30" w:hRule="atLeast"/>
        </w:trPr>
        <w:tc>
          <w:tcPr>
            <w:tcW w:w="1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к разделу.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целей настоящего раздела необходимо руководствоваться как кодом ТН ВЭД ЕАЭС, так и наименованием (физическими и химическими характеристиками) товара.". </w:t>
            </w:r>
          </w:p>
        </w:tc>
      </w:tr>
    </w:tbl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перед разделом 2.2 дополнить разделом 2.1 следующего содержания: 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"2.1. Озоноразрушающие вещества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Список C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6"/>
        <w:gridCol w:w="1083"/>
        <w:gridCol w:w="1114"/>
        <w:gridCol w:w="1927"/>
        <w:gridCol w:w="3717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107"/>
        </w:tc>
        <w:tc>
          <w:tcPr>
            <w:tcW w:w="3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</w:t>
            </w:r>
          </w:p>
          <w:bookmarkEnd w:id="108"/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CHFCl2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(ГХФУ-21)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фтордихлорметан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CHF2Cl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(ГХФУ-22)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дифторхлорметан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71 000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CH2FCl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(ГХФУ-31)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фторхлорметан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C2HFCl4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(ГХФУ-121)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фтортетрахлорэтан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C2HF2Cl3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(ГХФУ-122)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дифтортрихлорэтан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C2HF3Cl2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(ГХФУ-123а)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трифтордихлорэтан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72 000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CHCl2CF3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(ГХФУ-123)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трифтордихлорэтан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72 000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C2HF4Cl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(ГХФУ-124а)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тетрафторхлорэтан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CHFClCF3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(ГХФУ-124)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тетрафторхлорэтан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C2H2FCl3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(ГХФУ-131)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фтортрихлорэтан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C2H2F2Cl2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(ГХФУ-132)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дифтордихлорэтан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C2H2F3Cl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(ГХФУ-133)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трифторхлорэтан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C2H3FCl2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(ГХФУ-141)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1-фтор-2,2-дихлорэтан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73 000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CH3CFCl2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(ГХФУ-141b)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1,1,1-фтордихлорэтан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73 000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C2H3F2Cl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(ГХФУ-142)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1-хлор, 2,2-дифторэтан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74 000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CH3CF2Cl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(ГХФУ-142b)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1,1,1-дифторхлорэтан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74 000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C2H4FCl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(ГХФУ-151)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фторхлорэтан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C3HFCl6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(ГХФУ-221)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фторгексахлорпропан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C3HF2Cl5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(ГХФУ-222)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дифторпентахлорпропан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C3HF3Cl4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(ГХФУ-223)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трифтортетрахлорпропан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C3HF4Cl3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(ГХФУ-224)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тетрафтортрихлорпропан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C3HF5Cl2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(ГХФУ-225)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пентафтордихлорпропан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75 000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CF3CF2CHCl2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(ГХФУ-225ca)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1-трифтор, 2-дифтор,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3-дихлорпропан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75 000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CF2ClCF2CHClF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(ГХФУ-225сb)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1,1-дифторхлор,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 дифтор, 3-дихлорпропан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75 000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C3HF6Cl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(ГХФУ-226)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C3H2FCl5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(ГХФУ-231)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фторпентахлорпропан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C3H2F2Cl4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(ГХФУ-232)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дифтортетрахлорпропан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C3H2F3Cl3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(ГХФУ-233)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трифтортрихлорпропан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C3H2F4Cl2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(ГХФУ-234)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тетрафтордихлорпропан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C3H2F5Cl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(ГХФУ-235)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C3H3FCl4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(ГХФУ-241)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фтортетрахлорпропан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C3H3F2Cl3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(ГХФУ-242)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дифтортрихлорпропан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C3H3F3Cl2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(ГХФУ-243)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трифтордихлорпропан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C3H3F4Cl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(ГХФУ-244)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C3H4FCl3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(ГХФУ-251)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фтортрихлорпропан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C3H4F2Cl2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(ГХФУ-252)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C3H4F3Cl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(ГХФУ-253)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C3H5FCl2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(ГХФУ-261)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фтордихлорпропан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C3H5F2Cl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(ГХФУ-262)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</w:p>
        </w:tc>
      </w:tr>
      <w:tr>
        <w:trPr>
          <w:trHeight w:val="30" w:hRule="atLeast"/>
        </w:trPr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C3H6FCl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(ГХФУ-271)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фторхлорпропан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79 110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к разделу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 настоящего раздела необходимо руководствоваться как кодом ТН ВЭД ЕАЭС, так и наименованием (физическими и химическими характеристиками) товара. ";</w:t>
            </w:r>
          </w:p>
        </w:tc>
      </w:tr>
    </w:tbl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после раздела 2.13 дополнить разделом 2.14 следующего содержания: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"2.14. Лекарственные средства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9"/>
        <w:gridCol w:w="33"/>
        <w:gridCol w:w="2756"/>
        <w:gridCol w:w="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152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Органические химические соединения, используемые в качестве фармацевтических субстанций </w:t>
            </w:r>
          </w:p>
          <w:bookmarkEnd w:id="153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2913 00 000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2927 00 000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2928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2935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2940 00 000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2942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Железы и прочие органы, предназначенные для органотерапии, высушенные, измельченные или не измельченные в порошок; экстракты желез или прочих органов или их секретов, предназначенные для органотерапии; гепарин и его соли; прочие вещества человеческого или животного происхождения, подготовленные для использования в терапевтических или профилактических целях, в другом месте не поименованные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не включенные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Кровь человеческая; кровь животных, приготовленная для использования в терапевтических, профилактических или диагностических целях; сыворотки иммунные и фракции крови, прочие и модифицированные иммунологические продукты,в том числе полученные методами биотехнологии; вакцины, токсины, культуры микроорганизмов (кроме дрожжей) и аналогичные продукты, для использования вышеперечисленного 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Лекарственные средства (кроме товаров товарной позиции 3002, 3005 или 3006), состоящие из смеси двух или более компонентов, для использования в терапевтических или профилактических целях, но не расфасованные в виде дозированных лекарственных форм или в формы или упаковки для розничной продажи (кроме используемых для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 (кроме используемых для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Препараты контрастные для рентгенографических обследований; реагенты диагностические, предназначенные для введения больным, для использования вышеперечисленного 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3006 30 000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Средства химические контрацептивные на основе гормонов, прочих соединений товарной позиции 2937 или спермицидов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Препараты, в состав которых входят витамины и (или) минеральные вещества, для использования в медицинских целях </w:t>
            </w:r>
          </w:p>
          <w:bookmarkEnd w:id="166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90 980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90 980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Провитамины и витамины, природные или синтезированные (включая природные концентраты), их производные, используемые в основном в качестве витаминов, и смеси этих соединений, в том числе в любом растворителе, для использования 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Полимеры природные (например, альгиновая кислота) и полимеры природные модифицированные (например, отвержденные протеины, химические производные натурального каучука), в первичных формах, для использования 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</w:tr>
      <w:tr>
        <w:trPr>
          <w:trHeight w:val="30" w:hRule="atLeast"/>
        </w:trPr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к разделу.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 настоящего раздела необходимо руководствоваться как кодом ТН ВЭД ЕАЭС, так и наименованием товара.".</w:t>
            </w:r>
          </w:p>
        </w:tc>
      </w:tr>
    </w:tbl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№ 21 следующего содержания: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г. № 30</w:t>
            </w:r>
          </w:p>
        </w:tc>
      </w:tr>
    </w:tbl>
    <w:bookmarkStart w:name="z19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продукции, содержащей озоноразрушающие вещества</w:t>
      </w:r>
    </w:p>
    <w:bookmarkEnd w:id="173"/>
    <w:bookmarkStart w:name="z19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Настоящее Положение определяет порядок ввоза на таможенную территорию Евразийского экономического союза (далее соответственно – ввоз, Союз) и вывоза с таможенной территории Союза (далее – вывоз):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озоноразрушающих веществ и продукции, содержащей озоноразрушающие вещества, включенных в раздел 1.1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(далее – единый перечень), в следующих случаях: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осуществляются ввоз и (или) вывоз озоноразрушающих веществ, используемых исключительно в качестве сырья для производства химических веществ, не являющихся озоноразрушающими;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осуществляются ввоз и (или) вывоз озоноразрушающих веществ в целях их применения в соответствии с Монреальским протоколом по веществам, разрушающим озоновый слой, от 16 сентября 1987 года (далее – Монреальский протокол); 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осуществляются ввоз и (или) вывоз озоноразрушающих веществ, являющихся рециркулированными, восстановленными и (или) утилизированными; 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осуществляются ввоз и (или) вывоз переносных огнетушителей, содержащих вещества, указанные в группе II списка A раздела 1.1 единого перечня; 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осуществляется транзит озоноразрушающих веществ и продукции, содержащей озоноразрушающие вещества;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озоноразрушающих веществ, указанных в разделе 2.1 единого перечня.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Для целей настоящего Положения используемые понятия означают следующее: 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"продукция, содержащая озоноразрушающие вещества" – продукция, указанная в списке D раздела 1.1 единого перечня и содержащая озоноразрушающие вещества, указанные в списках A, В, C и E раздела 1.1 и в разделе 2.1 единого перечня;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"транзит" – перевозка озоноразрушающих веществ и продукции, содержащей озоноразрушающие вещества, от таможенного органа в месте прибытия на таможенную территорию Союза до таможенного органа в месте убытия с таможенной территории Союза. 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Иные понятия, используемые в настоящем Положении, применяются в значениях, определенных Протоколом о мерах нетарифного регулирования в отношении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 </w:t>
      </w:r>
      <w:r>
        <w:rPr>
          <w:rFonts w:ascii="Times New Roman"/>
          <w:b w:val="false"/>
          <w:i w:val="false"/>
          <w:color w:val="000000"/>
          <w:sz w:val="28"/>
        </w:rPr>
        <w:t>к Договору о Евразийском экономическом союзе от 29 мая 2014 года), международными договорами, входящими в право Союза, и Монреальским протоколом.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Запрещается ввоз и (или) вывоз: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озоноразрушающих веществ и продукции, содержащей озоноразрушающие вещества, физическими лицами в качестве товаров для личного пользования;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озоноразрушающих веществ и продукции, содержащей озоноразрушающие вещества, указанных в разделе 1.1 единого перечня, за исключением случаев, предусмотренных подпунктом "а" пункта 1 настоящего Положения;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озоноразрушающих веществ и продукции, содержащей озоноразрушающие вещества, указанных в разделе 1.1 единого перечня, и озоноразрушающих веществ, указанных в разделе 2.1 единого перечня, из государств, не являющихся участниками Монреальского протокола, и (или) в такие государства, за исключением государств, удовлетворяющих требованиям, установленным пунктом 8 статьи 4 Монреальского протокола.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Ввоз и (или) вывоз озоноразрушающих веществ и продукции, содержащей озоноразрушающие вещества, осуществляются при наличии лицензии, оформленной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г. № 199 (далее – лицензия), или заключения (разрешительного документа), составленного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 (далее – заключение (разрешительный документ)),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Лицензия или заключение (разрешительный документ) представляется таможенному органу государства – члена Союза (далее – государство-член) при прибытии озоноразрушающих веществ и продукции, содержащей озоноразрушающие вещества, на таможенную территорию Союза.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Представление юридическими лицами и физическими лицами, зарегистрированными в качестве индивидуальных предпринимателей (далее – заявители), таможенному органу государства-члена лицензии или заключения (разрешительного документа) не требуется в следующих случаях: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ввоз и (или) вывоз озоноразрушающих веществ, перемещаемых вместе с воздушным, морским (речным), автомобильным, железнодорожным транспортным средством с целью и в количестве, необходимых для обеспечения нормальной эксплуатации оборудования и технических устройств этого транспортного средства, в том числе для заправки, дозаправки холодильного оборудования, систем кондиционирования, средств пожаротушения и иного оборудования, и технических устройств, для эксплуатации которых в соответствии с техническими характеристиками необходимы озоноразрушающие вещества; 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ввоз и (или) вывоз продукции, содержащей озоноразрушающие вещества и используемой в качестве припасов, в количестве, необходимом для обеспечения нормальной эксплуатации оборудования и технических устройств воздушного, морского (речного), железнодорожного транспортного средства; 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ввоз и (или) вывоз продукции, содержащей озоноразрушающие вещества, перемещаемой автомобильным транспортным средством в количестве, необходимом для обеспечения нормальной эксплуатации оборудования и технических устройств этого транспортного средства.</w:t>
      </w:r>
    </w:p>
    <w:bookmarkEnd w:id="196"/>
    <w:bookmarkStart w:name="z22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Помещение под таможенные процедуры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Помещение озоноразрушающих веществ и продукции, содержащей озоноразрушающие вещества, под таможенные процедуры экспорта или выпуска для внутреннего потребления осуществляется при представлении таможенному органу государства-члена лицензии.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 Помещение озоноразрушающих веществ и продукции, содержащей озоноразрушающие вещества, под таможенные процедуры переработки на таможенной территории, переработки вне таможенной территории, переработки для внутреннего потребления, уничтожения,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государства-члена заключения (разрешительного документа). 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 Помещение озоноразрушающих веществ и продукции, содержащей озоноразрушающие вещества, под таможенные процедуры таможенного склада, таможенного транзита для их перевозки от таможенного органа в месте прибытия на таможенную территорию Союза до внутреннего таможенного органа,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(разрешительного документа), представленных таможенному органу государства-члена для помещения озоноразрушающих веществ и продукции, содержащей озоноразрушающие вещества, под иные таможенные процедуры. 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Помещение озоноразрушающих веществ и продукции, содержащей озоноразрушающие вещества,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государства-члена лицензии или заключения (разрешительного документа).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 Помещение озоноразрушающих веществ и продукции, содержащей озоноразрушающие вещества, под таможенные процедуры временного ввоза (допуска), временного вывоза, беспошлинной торговли, отказа в пользу государства, свободной таможенной зоны, свободного склада, а также под таможенные процедуры реимпорта и реэкспорта, за исключением случаев, предусмотренных пунктом 7 настоящего Положения, не допускается. </w:t>
      </w:r>
    </w:p>
    <w:bookmarkEnd w:id="202"/>
    <w:bookmarkStart w:name="z22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Выдача лицензии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 Для оформления лицензии заявители представляют в уполномоченный орган государства-члена, на территории которого зарегистрирован заявитель, документы и сведения, указанные в подпунктах 1 – 5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 – Правила), а также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>Правил следующие документы и сведения: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копия договора (контракта) об оказании посреднических услуг (в случае если в качестве заявителя выступает посредник); 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копии документов, удостоверяющих соответствие ввозимой на таможенную территорию Союза продукции, содержащей озоноразрушающие вещества, обязательным требованиям, предусмотренным Положением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294, или письменное уведомление изготовителя (производителя) о том, что произведенные им озоноразрушающие вещества и (или) продукция, содержащая озоноразрушающие вещества, отвечают требованиям документов, в соответствии с которыми они произведены (в качестве письменного уведомления представляется копия сертификата качества, или паспорта безопасности (качества), или удостоверения о качестве, заверенная изготовителем (производителем));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копия действующего полиса страхования грузов либо иного предусмотренного законодательством государства-члена документа, подтверждающего обеспечение заявителем, осуществляющим ввоз озоноразрушающих веществ и (или) продукции, содержащей озоноразрушающие вещества, гарантий в случае причинения ущерба здоровью человека и (или) окружающей среде; 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в случае ввоза утилизированных и (или) рециркулированных озоноразрушающих веществ в целях восстановления: 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заявителем);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документов, подтверждающих наличие у организации, которая планирует осуществить восстановление озоноразрушающих веществ, оборудования для восстановления в соответствии с требованиями, установленными решениями государств – участников Монреальского протокола;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 в случае ввоза утилизированных и (или) рециркулированных озоноразрушающих веществ в целях уничтожения: 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заявителем); 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копии документов, подтверждающих наличие у организации, которая планирует осуществить уничтожение озоноразрушающих веществ, оборудования для уничтожения в соответствии с технологиями уничтожения озоноразрушающих веществ, одобренными решениями государств – участников Монреальского протокола; 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в случае ввоза озоноразрушающих веществ для использования в качестве сырья – письмо заявителя, подтверждающее использование озоноразрушающих веществ исключительно в качестве сырья для производства химических веществ, не являющихся озоноразрушающими, либо копия договора (контракта) с организацией, которая будет использовать озоноразрушающие вещества исключительно в качестве сырья для производства химических веществ, не являющихся озоноразрушающими;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сведения, подтверждающие, что перемещение озоноразрушающих веществ осуществляется в таре многократного использования (в случае если законодательством государства-члена установлен запрет на ввоз и (или) вывоз озоноразрушающих веществ в таре однократного использования).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Копии документов, представляемые заявителем, должны быть заверены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Правил.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В случае если в соответствии с законодательством государства-члена решение о выдаче лицензии принимается уполномоченным органом по согласованию с другим органом государственной власти этого государства-члена (далее – согласующий орган), то такое согласование осуществляется в порядке, предусмотренном законодательством этого государства-члена.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Заявителем, если это предусмотрено законодательством государства-члена, в согласующий орган представляются документы, указанные в пункте 11 настоящего Положения. При этом в уполномоченный орган документы, указанные в подпунктах "а" – "ж" пункта 11 настоящего Положения, не представляются. 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Согласование может осуществляться посредством выдачи заключения (разрешительного документа). 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 В выдаче лицензии отказывается при наличии оснований, предусмотренных подпунктами 1 – 4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14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Правил, а также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14 </w:t>
      </w:r>
      <w:r>
        <w:rPr>
          <w:rFonts w:ascii="Times New Roman"/>
          <w:b w:val="false"/>
          <w:i w:val="false"/>
          <w:color w:val="000000"/>
          <w:sz w:val="28"/>
        </w:rPr>
        <w:t>Правил: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достижения в государстве-члене расчетного уровня потребления озоноразрушающих веществ, установленного Монреальским протоколом для каждого из государств-членов;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отказа согласующего органа в согласовании заявления на выдачу лицензии.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 Заявитель, получивший лицензию, ведет учет озоноразрушающих веществ, в том числе содержащихся в продукции, указанной в списке D раздела 1.1 единого перечня, и ежегодно, до 1 февраля года, следующего за отчетным, представляет в согласующий орган государства, на территории которого он зарегистрирован, отчет по форме согласно приложению. </w:t>
      </w:r>
    </w:p>
    <w:bookmarkEnd w:id="223"/>
    <w:bookmarkStart w:name="z24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Выдача заключения (разрешительного документа)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 Выдача заключения (разрешительного документа) осуществляется уполномоченным в соответствии с законодательством государства-члена на выдачу заключений (разрешительных документов) органом государственной власти государства-члена в порядке, определенном законодательством этого государства. 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 Заключение (разрешительный документ) выдается при представлении заявителем в уполномоченный в соответствии с законодательством государства-члена на выдачу заключений (разрешительных документов) орган государственной власти государства-члена следующих документов и сведений: 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проект заключения (разрешительного документа), оформленный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45; 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копия договора (контракта), а в случае отсутствия договора (контракта) – копия иного документа, подтверждающего намерения сторон;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копия действующего полиса страхования грузов либо иного предусмотренного законодательством государства-члена документа, подтверждающего обеспечение заявителем, осуществляющим ввоз озоноразрушающих веществ и (или) продукции, содержащей озоноразрушающие вещества, гарантий в случае причинения ущерба здоровью человека и (или) окружающей среде; 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в случае ввоза утилизированных и (или) рециркулированных озоноразрушающих веществ в целях восстановления: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заявителем);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документов, подтверждающих наличие у организации, которая планирует осуществить восстановление озоноразрушающих веществ, оборудования для восстановления в соответствии с требованиями, установленными решениями государств – участников Монреальского протокола;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в случае ввоза утилизированных и (или) рециркулированных озоноразрушающих веществ в целях уничтожения: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заявителем); 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документов, подтверждающих наличие у организации, которая планирует осуществить уничтожение озоноразрушающих веществ, оборудования для уничтожения в соответствии с технологиями уничтожения озоноразрушающих веществ, одобренными решениями государств – участников Монреальского протокола;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в случае ввоза озоноразрушающих веществ для использования в качестве сырья – письмо заявителя, подтверждающее использование озоноразрушающих веществ исключительно в качестве сырья для производства химических веществ, не являющихся озоноразрушающими, либо копия договора (контракта) с организацией, которая будет использовать озоноразрушающие вещества исключительно в качестве сырья для производства химических веществ, не являющихся озоноразрушающими;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сведения, подтверждающие, что перемещение озоноразрушающих веществ осуществляется в таре многократного использования (в случае если законодательством государства-члена установлен запрет на ввоз и (или) вывоз озоноразрушающих веществ в таре однократного использования).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 В выдаче заключения (разрешительного документа) отказывается при наличии следующих оснований: 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непредставление заявителем документов, предусмотренных пунктом 17 настоящего Положения;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наличие неполных или недостоверных сведений в документах, представленных заявителем для получения заключения (разрешительного документа);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иные основания, предусмотренные законодательством государства-члена, в том числе в целях реализации его международных обязательств.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 Заявитель, получивший заключение (разрешительный документ), ведет учет озоноразрушающих веществ, в том числе содержащихся в продукции, указанной в списке D раздела 1.1 единого перечня, и ежегодно, до 1 февраля года, следующего за отчетным, представляет в согласующий орган государства, на территории которого он зарегистрирован, отчет по форме согласно приложению. 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ввозе на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вывозе с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 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озоноразрушающие вещества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26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ввозе, вывозе и использовании озоноразрушающих веществ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757"/>
        <w:gridCol w:w="986"/>
        <w:gridCol w:w="942"/>
        <w:gridCol w:w="682"/>
        <w:gridCol w:w="726"/>
        <w:gridCol w:w="467"/>
        <w:gridCol w:w="682"/>
        <w:gridCol w:w="467"/>
        <w:gridCol w:w="725"/>
        <w:gridCol w:w="1547"/>
        <w:gridCol w:w="1463"/>
      </w:tblGrid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индивидуального предпринимателя</w:t>
            </w:r>
          </w:p>
          <w:bookmarkEnd w:id="244"/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озоноразрушающего вещества (далее –ОРВ), смеси ОРВ (процентно-компонентный состав смеси),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ввоза/вывоза ОРВ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ОРВ на начало отчетного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произведенных ОРВ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ОРВ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ОРВ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использованных (включая проданные) ОРВ (тонн)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ОРВ на конец отчетного года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(тонн)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производителя и поставщика ОРВ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производителя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поставщика ОРВ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получателя, страна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46"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21апреля 2015 г. № 30</w:t>
            </w:r>
          </w:p>
        </w:tc>
      </w:tr>
    </w:tbl>
    <w:bookmarkStart w:name="z27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ввозе на таможенную территорию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 xml:space="preserve">лекарственных средств </w:t>
      </w:r>
    </w:p>
    <w:bookmarkEnd w:id="247"/>
    <w:bookmarkStart w:name="z27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Настоящее Положение определяет порядок ввоза на таможенную территорию Евразийского экономического союза (далее соответственно – ввоз, Союз) лекарственных средств, включенных в раздел 2.14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(далее соответственно – лекарственные средства, единый перечень).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Положение не применяется при ввозе лекарственных средств, являющихся наркотическими средствами, психотропными веществами и их прекурсорами. 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Ввоз лекарственных средств, являющихся наркотическими средствами, психотропными веществами и их прекурсорами, включенными в раздел 2.12 единого перечня,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средств, психотропных веществ и их прекурсоров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10 </w:t>
      </w:r>
      <w:r>
        <w:rPr>
          <w:rFonts w:ascii="Times New Roman"/>
          <w:b w:val="false"/>
          <w:i w:val="false"/>
          <w:color w:val="000000"/>
          <w:sz w:val="28"/>
        </w:rPr>
        <w:t>к Решению Коллегии Евразийской экономической комиссии от 21 апреля 2015 г. № 30).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Для целей настоящего Положения под зарегистрированными лекарственными средствами понимаются лекарственные средства, включенные в единый реестр зарегистрированных лекарственных средств Евразийского экономического союза,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14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(далее – единый реестр), или включенные в соответствующий государственный реестр лекарственных средств государства – члена Союза (далее – государство-член) в соответствии с законодательством этого государства.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Иные понятия, используемые в настоящем Положении, применяются в значениях, определенных Протоколом о мерах нетарифного регулирования в отношении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 </w:t>
      </w:r>
      <w:r>
        <w:rPr>
          <w:rFonts w:ascii="Times New Roman"/>
          <w:b w:val="false"/>
          <w:i w:val="false"/>
          <w:color w:val="000000"/>
          <w:sz w:val="28"/>
        </w:rPr>
        <w:t>к Договору о Евразийском экономическом союзе от 29 мая 2014 года) и международными договорами, входящими в право Союза.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Ввоз зарегистрированных лекарственных средств осуществляется при наличии сведений о включении лекарственных средств в единый реестр или в соответствующий государственный реестр лекарственных средств государства-члена (далее – сведения о включении в реестр), за исключением случаев, предусмотренных абзацем вторым настоящего пункта и пунктами 4 и 8 настоящего Положения. </w:t>
      </w:r>
    </w:p>
    <w:bookmarkEnd w:id="254"/>
    <w:bookmarkStart w:name="z28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Ввоз зарегистрированных лекарственных средств в случае, предусмотренном подпунктом "е" пункта 11 настоящего Положения, и лекарственных средств в случае, предусмотренном подпунктом "з" пункта 11 настоящего Положения, а также незарегистрированных лекарственных средств осуществляется при наличии заключения (разрешительного документа), за исключением случаев, предусмотренных пунктами 4 и 8 настоящего Положения.</w:t>
      </w:r>
    </w:p>
    <w:bookmarkEnd w:id="255"/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(разрешительный документ) выдается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45. </w:t>
      </w:r>
    </w:p>
    <w:bookmarkEnd w:id="256"/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Представление таможенному органу государства-члена сведений о включении в реестр или заключения (разрешительного документа) не требуется в следующих случаях: </w:t>
      </w:r>
    </w:p>
    <w:bookmarkEnd w:id="257"/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ввоз физическими лицами зарегистрированных и незарегистрированных лекарственных средств в качестве товаров для личного пользования; 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ввоз зарегистрированных и незарегистрированных лекарственных средств для лечения пассажиров и членов экипажей транспортных средств, поездных бригад и водителей транспортных средств, прибывших на таможенную территорию Союза, в аптечках первой помощи этих транспортных средств в ограниченном количестве, определенном законодательством государства их регистрации, если иное не предусмотрено законодательством государства-члена;</w:t>
      </w:r>
    </w:p>
    <w:bookmarkEnd w:id="259"/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ввоз зарегистрированных и незарегистрированных лекарственных средств для лечения участников официальных международных культурных, спортивных мероприятий и участников международных экспедиций, если иное не предусмотрено законодательством государства-члена.</w:t>
      </w:r>
    </w:p>
    <w:bookmarkEnd w:id="260"/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Помещение под таможенные процедуры</w:t>
      </w:r>
    </w:p>
    <w:bookmarkEnd w:id="261"/>
    <w:bookmarkStart w:name="z29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Помещение зарегистрированных лекарственных средств под таможенные процедуры выпуска для внутреннего потребления, переработки для внутреннего потребления, реимпорта и отказа в пользу государства осуществляется при представлении таможенному органу государства-члена сведений о включении в реестр, за исключением помещения лекарственных средств под таможенные процедуры в соответствии с пунктами 6 и 7 настоящего Положения.</w:t>
      </w:r>
    </w:p>
    <w:bookmarkEnd w:id="262"/>
    <w:bookmarkStart w:name="z29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Помещение зарегистрированных лекарственных средств в случае, предусмотренном подпунктом "е" пункта 11 настоящего Положения, и незарегистрированных лекарственных средств под таможенные процедуры выпуска для внутреннего потребления, переработки для внутреннего потребления, реимпорта, отказа в пользу государства и временного ввоза (допуска) осуществляется при представлении таможенному органу государства-члена заключения (разрешительного документа).</w:t>
      </w:r>
    </w:p>
    <w:bookmarkEnd w:id="263"/>
    <w:bookmarkStart w:name="z29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Помещение лекарственных средств в случае, предусмотренном подпунктом "з" пункта 11 настоящего Положения, под таможенные процедуры выпуска для внутреннего потребления, переработки для внутреннего потребления, реимпорта, отказа в пользу государства и временного ввоза (допуска) осуществляется при представлении таможенному органу государства-члена заключения (разрешительного документа).</w:t>
      </w:r>
    </w:p>
    <w:bookmarkEnd w:id="264"/>
    <w:bookmarkStart w:name="z29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При помещении лекарственных средств под таможенные процедуры переработки на таможенной территории, таможенного склада, свободной таможенной зоны, свободного склада, уничтожения, таможенного транзита, а также зарегистрированных лекарственных средств под таможенную процедуру временного ввоза (допуска) представление таможенному органу государства-члена сведений о включении в реестр или заключения (разрешительного документа) не требуется.</w:t>
      </w:r>
    </w:p>
    <w:bookmarkEnd w:id="265"/>
    <w:bookmarkStart w:name="z29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 Помещение лекарственных средств под таможенную процедуру беспошлинной торговли не допускается. </w:t>
      </w:r>
    </w:p>
    <w:bookmarkEnd w:id="266"/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Выдача заключения (разрешительного документа)</w:t>
      </w:r>
    </w:p>
    <w:bookmarkEnd w:id="267"/>
    <w:bookmarkStart w:name="z29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 Выдача заключения (разрешительного документа) осуществляется уполномоченным в соответствии с законодательством государства-члена на выдачу заключений (разрешительных документов) органом государственной власти государства-члена в порядке, определенном законодательством этого государства-члена. </w:t>
      </w:r>
    </w:p>
    <w:bookmarkEnd w:id="268"/>
    <w:bookmarkStart w:name="z29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 Заключение (разрешительный документ) выдается юридическим лицам, физическим лицам, зарегистрированным в качестве индивидуальных предпринимателей, а также в случаях, предусмотренных законодательством государства-члена, иностранным организациям – производителям лекарственных средств в лице уполномоченных представительств (филиалов) или их доверенных лиц (далее – заявители) в следующих случаях:</w:t>
      </w:r>
    </w:p>
    <w:bookmarkEnd w:id="269"/>
    <w:bookmarkStart w:name="z30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ввоз незарегистрированных лекарственных средств, предназначенных для экспертизы лекарственных средств;</w:t>
      </w:r>
    </w:p>
    <w:bookmarkEnd w:id="270"/>
    <w:bookmarkStart w:name="z30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ввоз незарегистрированных лекарственных средств, предназначенных для осуществления регистрации лекарственных средств; </w:t>
      </w:r>
    </w:p>
    <w:bookmarkEnd w:id="271"/>
    <w:bookmarkStart w:name="z30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ввоз незарегистрированных лекарственных средств,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патологией;</w:t>
      </w:r>
    </w:p>
    <w:bookmarkEnd w:id="272"/>
    <w:bookmarkStart w:name="z30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ввоз незарегистрированных лекарственных средств, предназначенных для предотвращения и (или) устранения последствий чрезвычайных ситуаций;</w:t>
      </w:r>
    </w:p>
    <w:bookmarkEnd w:id="273"/>
    <w:bookmarkStart w:name="z30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ввоз незарегистрированных лекарственных средств, предназначенных для оказания гуманитарной помощи (содействия) и (или) помощи при чрезвычайных ситуациях, если это предусмотрено законодательством государства-члена;</w:t>
      </w:r>
    </w:p>
    <w:bookmarkEnd w:id="274"/>
    <w:bookmarkStart w:name="z3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ввоз зарегистрированных лекарственных средств, предназначенных для оказания гуманитарной помощи (содействия) и (или) помощи при чрезвычайных ситуациях, если это предусмотрено законодательством государства-члена;</w:t>
      </w:r>
    </w:p>
    <w:bookmarkEnd w:id="275"/>
    <w:bookmarkStart w:name="z3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ж) ввоз предназначенных для проведения выставок незарегистрированных лекарственных средств без права их дальнейшей реализации; </w:t>
      </w:r>
    </w:p>
    <w:bookmarkEnd w:id="276"/>
    <w:bookmarkStart w:name="z30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ввоз конкретной партии лекарственных средств, предназначенных для клинических исследований и (или) испытаний, если это предусмотрено законодательством государства-члена;</w:t>
      </w:r>
    </w:p>
    <w:bookmarkEnd w:id="277"/>
    <w:bookmarkStart w:name="z30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и) ввоз незарегистрированных лекарственных средств, предназначенных для внедрения инновационных медицинских технологий, проведения научных и иных исследований и разработок в медицине, если это предусмотрено законодательством государства-члена.</w:t>
      </w:r>
    </w:p>
    <w:bookmarkEnd w:id="278"/>
    <w:bookmarkStart w:name="z3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 Заключение (разрешительный документ) выдается при представлении заявителем в уполномоченный в соответствии с законодательством государства-члена на выдачу заключений (разрешительных документов) орган государственной власти государства-члена следующих документов и сведений:</w:t>
      </w:r>
    </w:p>
    <w:bookmarkEnd w:id="279"/>
    <w:bookmarkStart w:name="z3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проект заключения (разрешительного документа), оформленный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45;</w:t>
      </w:r>
    </w:p>
    <w:bookmarkEnd w:id="280"/>
    <w:bookmarkStart w:name="z31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копии договора (контракта), приложения и (или) дополнения к нему, а в случае отсутствия договора (контракта) – копия иного документа, подтверждающего намерения сторон;</w:t>
      </w:r>
    </w:p>
    <w:bookmarkEnd w:id="281"/>
    <w:bookmarkStart w:name="z31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иные документы и сведения, предусмотренные законодательством государства-члена.</w:t>
      </w:r>
    </w:p>
    <w:bookmarkEnd w:id="282"/>
    <w:bookmarkStart w:name="z31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В выдаче заключения (разрешительного документа) отказывается при наличии следующих оснований:</w:t>
      </w:r>
    </w:p>
    <w:bookmarkEnd w:id="283"/>
    <w:bookmarkStart w:name="z31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непредставление заявителем документов, указанных в пункте 12 настоящего Положения;</w:t>
      </w:r>
    </w:p>
    <w:bookmarkEnd w:id="284"/>
    <w:bookmarkStart w:name="z31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наличие неполных или недостоверных сведений в документах, представленных заявителем для получения заключения (разрешительного документа);</w:t>
      </w:r>
    </w:p>
    <w:bookmarkEnd w:id="285"/>
    <w:bookmarkStart w:name="z31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иные основания, предусмотренные законодательством государства-члена.".</w:t>
      </w:r>
    </w:p>
    <w:bookmarkEnd w:id="286"/>
    <w:bookmarkStart w:name="z3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В нумерационном заголовке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цифры "20" заменить цифрами "22".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августа 2016 г. № 99</w:t>
            </w:r>
          </w:p>
        </w:tc>
      </w:tr>
    </w:tbl>
    <w:bookmarkStart w:name="z31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Коллегии Евразийской экономической комиссии, признанных утратившими силу</w:t>
      </w:r>
    </w:p>
    <w:bookmarkEnd w:id="288"/>
    <w:bookmarkStart w:name="z32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134 "О нормативных правовых актах в области нетарифного регулирования":</w:t>
      </w:r>
    </w:p>
    <w:bookmarkEnd w:id="289"/>
    <w:bookmarkStart w:name="z32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разделы 1.1, 2.1 и 2.14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указанным Решением;</w:t>
      </w:r>
    </w:p>
    <w:bookmarkEnd w:id="290"/>
    <w:bookmarkStart w:name="z3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Положениях </w:t>
      </w:r>
      <w:r>
        <w:rPr>
          <w:rFonts w:ascii="Times New Roman"/>
          <w:b w:val="false"/>
          <w:i w:val="false"/>
          <w:color w:val="000000"/>
          <w:sz w:val="28"/>
        </w:rPr>
        <w:t>о применении ограничений, утвержденных указанным Решением: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ввоза на таможенную территорию Таможенного союза и вывоза с таможенной территории Таможенного союза озоноразрушающих веществ и содержащей их продукции;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ввоза на таможенную территорию Таможенного союза лекарственных средств и фармацевтических субстанций.</w:t>
      </w:r>
    </w:p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 сентября 2012 г. № 158 "О внесении изменений в разделы 1.1 и 2.1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странами".</w:t>
      </w:r>
    </w:p>
    <w:bookmarkEnd w:id="292"/>
    <w:bookmarkStart w:name="z3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 марта 2013 г. № 30 "О внесении изменений в раздел 1.1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странами".</w:t>
      </w:r>
    </w:p>
    <w:bookmarkEnd w:id="293"/>
    <w:bookmarkStart w:name="z3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>приложения № 4 к Решению Коллегии Евразийской экономической комиссии от 2 декабря 2014 г. № 215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авиации,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комиссии".</w:t>
      </w:r>
    </w:p>
    <w:bookmarkEnd w:id="294"/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декабря 2014 г. № 235 "О внесении изменений в Положения о применении ограничений".</w:t>
      </w:r>
    </w:p>
    <w:bookmarkEnd w:id="2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