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7386" w14:textId="3367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15 ноября 2016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утвержденную Решением Комиссии Таможенного союза от 20 мая 2010 г. № 257,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за исключением подпунктов «а» и «б» пункта 3, пунктов 4 и 5 изменений, предусмотренных приложением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«а» и «б» пункта 3, пункты 4 и 5 указанных изменений вступают в силу с 1 апреля 2017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2016 г. № 146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Инструкцию о порядке заполнения декларации на товары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Абзацы пятый – пятнадцатый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подпункт 8 после абзаца тридцать первого (после таблицы)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сведения, подлежащие заявлению в настоящей графе, повторяют сведения, подлежащие заявлению в </w:t>
      </w:r>
      <w:r>
        <w:rPr>
          <w:rFonts w:ascii="Times New Roman"/>
          <w:b w:val="false"/>
          <w:i w:val="false"/>
          <w:color w:val="000000"/>
          <w:sz w:val="28"/>
        </w:rPr>
        <w:t>графе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ДТ, такие сведения в настоящую графу не вносятся, при этом производится запись: «см. </w:t>
      </w:r>
      <w:r>
        <w:rPr>
          <w:rFonts w:ascii="Times New Roman"/>
          <w:b w:val="false"/>
          <w:i w:val="false"/>
          <w:color w:val="000000"/>
          <w:sz w:val="28"/>
        </w:rPr>
        <w:t>графу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ДТ».»;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подпункт 9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сведения, подлежащие заявлению в настоящей графе, повторяют сведения, подлежащие заявлению в </w:t>
      </w:r>
      <w:r>
        <w:rPr>
          <w:rFonts w:ascii="Times New Roman"/>
          <w:b w:val="false"/>
          <w:i w:val="false"/>
          <w:color w:val="000000"/>
          <w:sz w:val="28"/>
        </w:rPr>
        <w:t>графе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ДТ, такие сведения в настоящую графу не вносятся, при этом производится запись: «см. </w:t>
      </w:r>
      <w:r>
        <w:rPr>
          <w:rFonts w:ascii="Times New Roman"/>
          <w:b w:val="false"/>
          <w:i w:val="false"/>
          <w:color w:val="000000"/>
          <w:sz w:val="28"/>
        </w:rPr>
        <w:t>графу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ДТ»;»;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абзац четвертый (после таблицы) подпункта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абзацы восьмой – десятый (после таблицы) подпункта 31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абзац второй (после таблицы) подпункта 41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абзац четвертый (после таблицы) подпункта 43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абзац двадцать первый (после таблицы) подпункта 45 перед словами «Республике Беларусь» дополнить словами «Республике Армения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подпункт 49 после абзаца одиннадцатого (после таблицы)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Российской Федерации перед реквизитами договора таможенного представителя с декларантом, а также документов, удостоверяющих личность и полномочия лица, составившего ДТ, сведения о которых указываются под номерами 1 – 3, через знак разделителя «/»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представляемого документа в соответствии с классификатором видов документов и сведений, используемых при таможенном декларировании;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признак, подтверждающий представление либо непредставление документа при подаче ДТ: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«1» – документ представлен при подаче ДТ;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«2» – документ не представлен в соответствии с частью второй пункта 4 статьи 183 Кодекса. В этом случае после реквизитов документа через пробел указываются регистрационный номер ДТ или иного таможенного документа, к которому был приложен этот документ(при подаче ДТ в письменной форме), либо идентификатор документа, присвоенный информационной системой таможенных органов, и через знак разделителя «/» идентификатор хранилища электронных документов (при подаче ДТ в виде электронного документа).».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пятом слова «В Республике Беларусь» заменить словами «В Республике Армения, Республике Казахстан, Кыргызской Республике»;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Республике Беларусь </w:t>
      </w:r>
      <w:r>
        <w:rPr>
          <w:rFonts w:ascii="Times New Roman"/>
          <w:b w:val="false"/>
          <w:i w:val="false"/>
          <w:color w:val="000000"/>
          <w:sz w:val="28"/>
        </w:rPr>
        <w:t>графа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 </w:t>
      </w:r>
      <w:r>
        <w:rPr>
          <w:rFonts w:ascii="Times New Roman"/>
          <w:b w:val="false"/>
          <w:i w:val="false"/>
          <w:color w:val="000000"/>
          <w:sz w:val="28"/>
        </w:rPr>
        <w:t>графы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ДТ не заполняются при помещении товаров под таможенные процедуры экспорта и временного вывоза, если в отношении таких товаров не установлены таможенные пошлины и налоги, исчисляемые исходя из их таможенной стоимости.».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подпункт 2 после абзаца тридцать первого (после таблицы)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сведения, подлежащие заявлению в настоящей графе, повторяют сведения, подлежащие заявлению в </w:t>
      </w:r>
      <w:r>
        <w:rPr>
          <w:rFonts w:ascii="Times New Roman"/>
          <w:b w:val="false"/>
          <w:i w:val="false"/>
          <w:color w:val="000000"/>
          <w:sz w:val="28"/>
        </w:rPr>
        <w:t>графе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ДТ, такие сведения в настоящую графу не вносятся, при этом производится запись: «см. </w:t>
      </w:r>
      <w:r>
        <w:rPr>
          <w:rFonts w:ascii="Times New Roman"/>
          <w:b w:val="false"/>
          <w:i w:val="false"/>
          <w:color w:val="000000"/>
          <w:sz w:val="28"/>
        </w:rPr>
        <w:t>графу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ДТ».»;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подпункт 4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сведения, подлежащие заявлению в настоящей графе, повторяют сведения, подлежащие заявлению в </w:t>
      </w:r>
      <w:r>
        <w:rPr>
          <w:rFonts w:ascii="Times New Roman"/>
          <w:b w:val="false"/>
          <w:i w:val="false"/>
          <w:color w:val="000000"/>
          <w:sz w:val="28"/>
        </w:rPr>
        <w:t>графе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ДТ, такие сведения в настоящую графу не вносятся, при этом производится запись: «см. </w:t>
      </w:r>
      <w:r>
        <w:rPr>
          <w:rFonts w:ascii="Times New Roman"/>
          <w:b w:val="false"/>
          <w:i w:val="false"/>
          <w:color w:val="000000"/>
          <w:sz w:val="28"/>
        </w:rPr>
        <w:t>графу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ДТ»;»;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подпункте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(после таблицы) слово «отправлениях.» заменить словом «отправлениях;»;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двадцать четвертого (после таблицы)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Республике Беларусь при декларировании товаров, помещаемых под таможенную процедуру экспорта, если на момент подачи ДТ декларант не располагает точными сведениями о транспортных средствах и убытие товаров будет осуществляться с территории Республики Беларусь;»;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подпункт 12 после абзаца шестого (после таблицы)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Республике Армения, Республике Казахстан, Кыргызской Республике и Российской Федерации при декларировании товаров, помещаемых под таможенную процедуру экспорта и не облагаемых вывозными таможенными пошлинами, убытие которых будет осуществляться с территорий этих государств – членов Союза(за исключением случаев, когда перевозка (транспортировка) таких товаров до места убытия с таможенной территории будет осуществляться через территорию государства, не являющегося членом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при декларировании товаров, помещаемых под таможенную процедуру экспорта, убытие которых будет осуществляться с территории Республики Беларусь;»;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подпункт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 </w:t>
      </w:r>
      <w:r>
        <w:rPr>
          <w:rFonts w:ascii="Times New Roman"/>
          <w:b w:val="false"/>
          <w:i w:val="false"/>
          <w:color w:val="000000"/>
          <w:sz w:val="28"/>
        </w:rPr>
        <w:t>графа 31</w:t>
      </w:r>
      <w:r>
        <w:rPr>
          <w:rFonts w:ascii="Times New Roman"/>
          <w:b w:val="false"/>
          <w:i w:val="false"/>
          <w:color w:val="000000"/>
          <w:sz w:val="28"/>
        </w:rPr>
        <w:t>. «Грузовые места и описание товаров»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83"/>
        <w:gridCol w:w="9477"/>
        <w:gridCol w:w="740"/>
      </w:tblGrid>
      <w:tr>
        <w:trPr>
          <w:trHeight w:val="30" w:hRule="atLeast"/>
        </w:trPr>
        <w:tc>
          <w:tcPr>
            <w:tcW w:w="37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Грузовые места и 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9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 и количество – Номера контейнеров – Количество и отличительные особенности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вносятся в графу в порядке, установленном для заполнения </w:t>
      </w:r>
      <w:r>
        <w:rPr>
          <w:rFonts w:ascii="Times New Roman"/>
          <w:b w:val="false"/>
          <w:i w:val="false"/>
          <w:color w:val="000000"/>
          <w:sz w:val="28"/>
        </w:rPr>
        <w:t>графы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ДТ раздела II Инструкции, с учетом следующих особенностей.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товаров, помещаемых под таможенную процедуру экспорта и не облагаемых вывозными таможенными пошлинами: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номером 2.1 не указываются коды видов потребительскойи (или) индивидуальной тары в соответствии с классификатором видов груза, упаковки и упаковочных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номером 3 не указываются сведения о контейнерах, в которых перевозятся (будут перевозиться)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помещении товаров под таможенную процедуру переработки вне таможенной территории, если ДТ используется в качестве документа об условиях переработки вне таможенной территории, под номером 6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заявляемая норма выхода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количество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способы идентификации вывезенных товаров в продуктах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замене продуктов переработки иностранными товарами;».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разделе I приложения № 4 к указанной Инструкции позицию с кодом 2710 12 ТН ВЭД ЕАЭС в графе 3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«содержание в мас. % пентана (С5) и гексана (С6)».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