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910" w14:textId="07a6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Методологии расчета сводных прогнозных балансов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сентября 2016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сводных прогнозных балансов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Методология, утвержденная настоящим распоряжением, используется для расчета Евразийской экономической комиссией сводных прогнозных балансов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марта 2015 г. № 15 «О Методологии расчета сводных прогнозов спроса и предложения государств – членов Евразийского экономического союза по основным видам сельскохозяйственной продукции и продовольствия».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2016 г. № 134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МЕТОДОЛОГИЯ</w:t>
      </w:r>
      <w:r>
        <w:br/>
      </w:r>
      <w:r>
        <w:rPr>
          <w:rFonts w:ascii="Times New Roman"/>
          <w:b/>
          <w:i w:val="false"/>
          <w:color w:val="000000"/>
        </w:rPr>
        <w:t>
расчета сводных прогнозных балансов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 по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продукции, продовольствию, льноволокну,</w:t>
      </w:r>
      <w:r>
        <w:br/>
      </w:r>
      <w:r>
        <w:rPr>
          <w:rFonts w:ascii="Times New Roman"/>
          <w:b/>
          <w:i w:val="false"/>
          <w:color w:val="000000"/>
        </w:rPr>
        <w:t>
кожевенному сырью, хлопковолокну и шерсти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Сводные прогнозные балансы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 (далее – сводные прогнозные балансы спроса и предложения) включают в себя данные прогнозных балансов спроса и предложения государств – членов Евразийского экономического союза (далее соответственно – государства-члены, Союз) по сельскохозяйственной продукции, продовольствию, льноволокну, кожевенному сырью, хлопковолокну и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прогнозные балансы спроса и предложения рассчитываются по следующим позициям: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и мясопродукты;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и молокопродукты;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масла растительные;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и продукты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овоще-бахчевые культуры и продукты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фрукты и ягоды, а также продукты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льноволокно;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кожевенное сырье и продукты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хлопковолокно и продукты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шерсть и продукты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прогнозные балансы спроса и предложения рассчитываются в натуральных единицах измерения (тыс. тонн, для яиц и яйцепродуктов – млн. штук, для кожевенного сырья – тыс.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сводного прогнозного баланса спроса и предложения осуществляется путем применения балансового метода, включающего в себя систему сбалансированных прогнозных показателей по источникам поступления ресурсов основных видов сельскохозяйственной продукции, продовольствия, льноволокна, кожевенного сырья, хлопковолокна и шерсти и направлениям их использования, при этом ресурсная часть (ресурсы) равняется сумме распределительной части (использованию ресурсов) и запасов на конец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сводных прогнозных балансов спроса и предложения включают в себя данные за отчетный год, текущий год и 2 прогнозных (следующих за текущим годом) календарных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сводных прогнозных балансов спроса и предложения по Союзу формируются путем суммирования соответствующих показателей прогнозных балансов спроса и предложения государств-членов для всех статей, за исключением показателей «итого ресурсов (без учета взаимной торговли) – всего» и «итого использование (без учета взаимной торговли) – всего» (позиции 5 и 9), которые суммируются без учета данных по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объема ввоза сельскохозяйственной продукции и продовольствия во взаимной торговле за отчетный и текущий годы применяется принцип «зеркальности», в соответствии с которым учитываются данные по вывозящей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прогнозного объема ввоза и вывоза сельскохозяйственной продукции и продовольствия осуществляется на основе принципа приоритета взаимной торговли государств-членов над внешней торговлей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потребности государства-члена во ввозе определенного вида сельскохозяйственной продукции и продовольствия над предложениями других государств-членов по ее поставкам показатель «Взаимная торговля (ввоз)» (позиция 3) формируется в соответствии с предложениями других государств-членов в полном объеме (позиция 7). В отношении оставшейся части потребности в соответствующей сельскохозяйственной продукции и продовольствии указанный показатель формируется за счет импорта данной продукции из третьих стран (позиция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предложений по поставкам определенного вида сельскохозяйственной продукции и продовольствия из государств-членов над потребностью государства-члена в ее ввозе планирование ввоза осуществляется пропорционально удельному весу государств-членов во взаимных поставках в указанное государство-член в отчетном году. Планируемые для реализации объемы соответствующей сельскохозяйственной продукции и продовольствия, превышающие потребности внутреннего рынка государств-членов, указываются в позиции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 в течение 30 рабочих дней со дня официального поступления прогнозных балансов спроса и предложения от всех государств-членов осуществляет анализ представленных материалов, формирование сводных прогнозных балансов спроса и предложения в соответствии с формами согласно приложению и их представление государствам-членам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Комиссии или государства-члена вопросы, связанные с расчетом сводных прогнозных балансов спроса и предложения, могут вноситься на рассмотрение рабочей группы при Консультативном комитете по агропромышленному комплексу, по результатам которого вырабатываются рекомендации по корректировке сводных прогнозных балансов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государствами-членами сводные прогнозные балансы спроса и предложения рассматриваются на заседаниях Коллегии Комиссии.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Сводный прогнозный баланс спроса и предложения зерна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зерна отражает прогнозируемые ресурсы по источникам поступления и направлениям использования зерна без продуктов его переработки (коды 1001 – 1008 единой Товарной номенклатуры внешнеэкономической деятельности Евразийского экономического союза (далее – ТН ВЭД ЕАЭС)).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зерна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"/>
        <w:gridCol w:w="6084"/>
        <w:gridCol w:w="1500"/>
        <w:gridCol w:w="1916"/>
        <w:gridCol w:w="1916"/>
        <w:gridCol w:w="1917"/>
      </w:tblGrid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кормовые цели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другие цели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зерна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зерна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зерна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зерна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+ПД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+ПО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зерна на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зерна на корм скоту и птице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кормовые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другие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зерна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зерна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зерна по Союзу.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Сводные прогнозные балансы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мяса и мясопродуктов, а также отдельных видов мяса</w:t>
      </w:r>
      <w:r>
        <w:br/>
      </w:r>
      <w:r>
        <w:rPr>
          <w:rFonts w:ascii="Times New Roman"/>
          <w:b/>
          <w:i w:val="false"/>
          <w:color w:val="000000"/>
        </w:rPr>
        <w:t>
(говядина, свинина, баранина, мясо птицы)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прогнозный баланс спроса и предложения мяса и мясопродуктов включаются мясо всех видов животных (говядина, свинина, баранина, козлятина, мясо кроликов, мясо птицы и др.), мясопродукты в пересчете на мясо, субпродукты 1 и 2 категории, а также жиры животные пищевые в пересчете на жир-сырец (коды 0201 – 0210, 1601 00 – 1602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прогнозные балансы спроса и предложения рассчитываются по видам мяса: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свинины;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баранины;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мяса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сводные прогнозные балансы спроса и предложения по видам мяса не включаются продукты переработки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мяса и мясопродуктов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"/>
        <w:gridCol w:w="6280"/>
        <w:gridCol w:w="1385"/>
        <w:gridCol w:w="1820"/>
        <w:gridCol w:w="1820"/>
        <w:gridCol w:w="1820"/>
      </w:tblGrid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мяса и мясопродуктов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мяса и мясопродуктов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мяса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мяса и мясопродуктов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мяса и мясопродуктов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мяса в сельском хозяйстве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мяса и мясопродуктов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мяса и мясопродуктов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мяса и мясопродуктов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прогнозные балансы спроса и предложения отдельных видов мяса (говядины, свинины, баранины и мяса птицы) включают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"/>
        <w:gridCol w:w="6280"/>
        <w:gridCol w:w="1385"/>
        <w:gridCol w:w="1820"/>
        <w:gridCol w:w="1820"/>
        <w:gridCol w:w="1820"/>
      </w:tblGrid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мяса i-го вида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мяса i-го вида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мяса i-го вида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+ПП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мяса i-го вида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i-го вида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мяса i-го вида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мяса i-го вида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мi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мяса i-го вида по Союзу.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Сводный прогнозный баланс спроса и предложения молока</w:t>
      </w:r>
      <w:r>
        <w:br/>
      </w:r>
      <w:r>
        <w:rPr>
          <w:rFonts w:ascii="Times New Roman"/>
          <w:b/>
          <w:i w:val="false"/>
          <w:color w:val="000000"/>
        </w:rPr>
        <w:t>
и молокопродуктов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прогнозный баланс спроса и предложения молока и молокопродуктов включаются молоко всех видов в физическом весе и молокопродукты (масло животное, сыр, молочные консервы, цельномолочная продукция, сухое молоко, мороженое и т. д.) (коды 0401 – 0406, 2105 00 ТН ВЭД ЕАЭС)) в пересчете на молоко базисной жирности.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молока и молокопродуктов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"/>
        <w:gridCol w:w="6280"/>
        <w:gridCol w:w="1385"/>
        <w:gridCol w:w="1820"/>
        <w:gridCol w:w="1820"/>
        <w:gridCol w:w="1820"/>
      </w:tblGrid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молока и молокопродуктов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молока и молокопродуктов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молока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молока и молокопродуктов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молока и молокопродуктов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+ ПД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молока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молока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молока и молокопродуктов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молока и молокопродуктов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молока и молокопродуктов по Союзу.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Сводный прогнозный баланс спроса и предложения сахара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прогнозный баланс спроса и предложения сахара включается сахар белый, произведенный из сахарной свеклы и сахара-сырца тростникового, и не включаются продукты, произведенные с использованием сахара (коды 1701 99 100 1 и 1701 99 100 9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сахара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620"/>
        <w:gridCol w:w="2800"/>
        <w:gridCol w:w="440"/>
        <w:gridCol w:w="1580"/>
        <w:gridCol w:w="1400"/>
        <w:gridCol w:w="140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сахарной свеклы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сахара-сырца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сахара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сахара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сахара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сахара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ПД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сахара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сахара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сахара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сахара по Союзу.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масел растительных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масел растительных отражает прогнозируемые ресурсы по источникам поступления и направлениям использования масел растительных без учета продуктов их переработки (коды 1507 – 1515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масел растительных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"/>
        <w:gridCol w:w="5893"/>
        <w:gridCol w:w="1258"/>
        <w:gridCol w:w="1655"/>
        <w:gridCol w:w="1466"/>
        <w:gridCol w:w="1466"/>
        <w:gridCol w:w="1467"/>
      </w:tblGrid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подсолнечного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соевого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рапсового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масел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Внешняя торговля (экспорт) 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</w:t>
            </w:r>
          </w:p>
        </w:tc>
        <w:tc>
          <w:tcPr>
            <w:tcW w:w="1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масел растительных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масел растительных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масел растительных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масел растительных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ПД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масел растительных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масел растительных на продовольственные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масел растительных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масел растительных по Союзу.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Сводный прогнозный баланс спроса и предложения </w:t>
      </w:r>
      <w:r>
        <w:br/>
      </w:r>
      <w:r>
        <w:rPr>
          <w:rFonts w:ascii="Times New Roman"/>
          <w:b/>
          <w:i w:val="false"/>
          <w:color w:val="000000"/>
        </w:rPr>
        <w:t>
картофеля и продуктов его переработки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картофеля и продуктов его переработки отражает прогнозируемые ресурсы по источникам поступления и направлениям использования картофеля и продуктов его переработки (коды 0701, 0710 10 000 0, 0712 90 050 0, 1105,1108 13 000 0, 2004 10 и 2005 20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картофеля и продуктов его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"/>
        <w:gridCol w:w="6280"/>
        <w:gridCol w:w="1385"/>
        <w:gridCol w:w="1820"/>
        <w:gridCol w:w="1820"/>
        <w:gridCol w:w="1820"/>
      </w:tblGrid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картофеля и продуктов его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картофеля и продуктов его переработки по Союзу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картофеля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картофеля и продуктов его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картофеля и продуктов его переработки по Союзу (Испк)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картофеля на семена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картофеля на корм скоту и птице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картофеля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картофеля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картофеля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картофеля и продуктов его переработки по Союзу.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яиц и яйцепродуктов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сводный прогнозный баланс спроса и предложения яиц и яйцепродуктов включаются яйца всех видов в количественном выражении (млн. штук) и яйцепродукты (коды 0407 и 0408 ТН ВЭД ЕАЭС) в пересчете на яйца в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яиц и яйцепродуктов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"/>
        <w:gridCol w:w="6280"/>
        <w:gridCol w:w="1385"/>
        <w:gridCol w:w="1820"/>
        <w:gridCol w:w="1820"/>
        <w:gridCol w:w="1820"/>
      </w:tblGrid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яиц и яйцепродуктов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яиц и яйцепродуктов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яиц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яиц и яйцепродуктов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яиц и яйцепродуктов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ПД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яиц в сельском хозяйстве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яиц на непищевые цели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яиц и яйцепродуктов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яиц и яйцепродуктов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яиц и яйцепродуктов по Союзу.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овоще-бахчевых культур и продуктов их переработки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овоще-бахчевых культур и продуктов их переработки отражает прогнозируемые ресурсы по источникам поступления и направлениям использования овоще-бахчевых культур и продуктов их переработки (коды из 0702 00 000, 0703, 0704, 0705, 0706, 0707 00, 0708, 0709, 0710, 0711, 0712, 0713, 0807, 2001, 2002, 2004, 2005, 2009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овоще-бахчевых культур и продуктов их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440"/>
        <w:gridCol w:w="2420"/>
        <w:gridCol w:w="640"/>
        <w:gridCol w:w="1580"/>
        <w:gridCol w:w="1580"/>
        <w:gridCol w:w="158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овоще-бахчевых культур и продуктов их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овоще-бахчевых культур и продуктов их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овоще-бахчевых культур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овоще-бахчевых культур и продуктов их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овоще-бахчевых культур и продуктов их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ПЦ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ПЦ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на продовольственные цели овоще-бахчевых культур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овоще-бахчевых культур и продуктов их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овоще-бахчевых культур и продуктов их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овоще-бахчевых культур и продуктов их переработки по Союзу.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фруктов и ягод, а также продуктов их переработки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фруктов и ягод, а также продуктов их переработки отражает прогнозируемые ресурсы по источникам поступления и направлениям использования фруктов и ягод, а также продуктов их переработки (коды из 0801, 0802, 0803, 0804, 0805, 0806, 0808, 0809, 0810, 0811, 0812, 0813, 2001 90 910 0, 2006 00, 2007, 2008, 2009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фруктов и ягод, а также продуктов их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"/>
        <w:gridCol w:w="5040"/>
        <w:gridCol w:w="3180"/>
        <w:gridCol w:w="260"/>
        <w:gridCol w:w="1580"/>
        <w:gridCol w:w="1580"/>
        <w:gridCol w:w="1780"/>
      </w:tblGrid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фруктов и ягод, а также продуктов их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фруктов и ягод, а также продуктов их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фруктов и ягод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фруктов и ягод, а также продуктов их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фруктов и ягод, а также продуктов их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ПЦ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ПЦ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переработка на продовольственные цели фруктов и ягод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фруктов и ягод, а также продуктов их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фруктов и ягод, а также продуктов их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фя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фруктов и ягод, а также продуктов их переработки по Союзу.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Сводный прогнозный баланс спроса и предложения льноволокна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льноволокна отражает прогнозируемые ресурсы по источникам поступления и направлениям использования льноволокна (коды 5301 10 000 0, 5301 21 000 0 и 5301 29 000 0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льноволокна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440"/>
        <w:gridCol w:w="2420"/>
        <w:gridCol w:w="640"/>
        <w:gridCol w:w="1580"/>
        <w:gridCol w:w="1580"/>
        <w:gridCol w:w="158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потребление 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льноволокна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льноволокна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льноволокна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льноволокна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льноволокна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льноволокна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льноволокна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льноволокна по Союзу.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кожевенного сырья и продуктов его переработки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кожевенного сырья и продуктов его переработки отражает прогнозируемые ресурсы по источникам поступления и направлениям использования кожевенного сырья и продуктов его переработки (коды 4101, 4102, 4103 30 000 0, 4104, 4105, 4106 31 000 0, 4106 32 000 0, 4107 – 4113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кожевенного сырья и продуктов его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440"/>
        <w:gridCol w:w="2420"/>
        <w:gridCol w:w="640"/>
        <w:gridCol w:w="1580"/>
        <w:gridCol w:w="1580"/>
        <w:gridCol w:w="158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потребление 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кожевенного сырья и продуктов его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кожевенного сырья и продуктов его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кожевенного сырья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кожевенного сырья и продуктов его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кожевенного сырья и продуктов его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кожевенного сырья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кожевенного сырья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кожевенного сырья и продуктов его переработки по Союзу.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хлопковолокна и продуктов его переработки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хлопковолокна и продуктов его переработки отражает прогнозируемые ресурсы по источникам поступления и направлениям использования хлопковолокна и продуктов его переработки (коды 5201 00, 5202, 5203 00 000 0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хлопковолокна и продуктов его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440"/>
        <w:gridCol w:w="2620"/>
        <w:gridCol w:w="440"/>
        <w:gridCol w:w="1580"/>
        <w:gridCol w:w="1580"/>
        <w:gridCol w:w="158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потребление 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хлопковолокна и продуктов его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хлопковолокна и продуктов его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хлопковолокна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хлопковолокна и продуктов его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хлопковолокна и продуктов его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хлопковолокна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хлопковолокна и продуктов его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хлопковолокна и продуктов его переработки по Союзу.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XIV. Сводный прогнозный баланс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шерсти и продуктов ее переработки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прогнозный баланс спроса и предложения шерсти и продуктов ее переработки отражает прогнозируемые ресурсы по источникам поступления и направлениям использования шерсти и продуктов ее переработки (коды 5101 – 5103, 5104 00 000 0, 5105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прогнозный баланс спроса и предложения шерсти и продуктов ее переработки включает в себя следующие позиции: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5"/>
        <w:gridCol w:w="1492"/>
        <w:gridCol w:w="1904"/>
        <w:gridCol w:w="1904"/>
        <w:gridCol w:w="1905"/>
      </w:tblGrid>
      <w:tr>
        <w:trPr>
          <w:trHeight w:val="420" w:hRule="atLeast"/>
        </w:trPr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5440"/>
        <w:gridCol w:w="2800"/>
        <w:gridCol w:w="260"/>
        <w:gridCol w:w="1580"/>
        <w:gridCol w:w="1580"/>
        <w:gridCol w:w="158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потребление 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Взаимная торговля (вывоз)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 по ресурсной части (ресурсам) сводного прогнозного баланса спроса и предложения шерсти и продуктов ее переработки по Союзу (Рес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= Зн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+ И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запасы шерсти и продуктов ее переработки по Союзу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шерсти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импорт (внешняя торговля) шерсти и продуктов ее переработки по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 по распределительной части (использованию ресурсов) сводного прогнозного баланса спроса и предложения шерсти и продуктов ее переработки по Союзу (Исп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+ ПО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+ ЛП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производственное потребление шерсти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шерсти и продуктов ее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личное потребление шерсти и продуктов ее переработки по Союзу;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экспорт (внешняя торговля) шерсти и продуктов ее переработки по Союзу.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расчета сводных прогнозных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спроса и предложения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Евразийского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по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продовольствию, льноволокну,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кожевенному сырью, хлопковолокну и шерсти 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сводных прогнозных балансов спроса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 – членов Евразийского экономического союза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сельскохозяйственной продукции, продовольствию, льноволокну,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кожевенному сырью, хлопковолокну и шерсти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1)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Сводный прогнозный баланс спроса и предложения зерна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1401"/>
        <w:gridCol w:w="1782"/>
        <w:gridCol w:w="1782"/>
        <w:gridCol w:w="1782"/>
      </w:tblGrid>
      <w:tr>
        <w:trPr>
          <w:trHeight w:val="42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"/>
        <w:gridCol w:w="60"/>
        <w:gridCol w:w="40"/>
        <w:gridCol w:w="6440"/>
        <w:gridCol w:w="1440"/>
        <w:gridCol w:w="1840"/>
        <w:gridCol w:w="1840"/>
        <w:gridCol w:w="1840"/>
      </w:tblGrid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государствам-членам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кормовые 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другие 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 – всего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 (с учетом взаимной торговли):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2)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Сводный прогнозный баланс спроса и предложения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 мясопродуктов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государствам-членам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3)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Сводный прогнозный баланс спроса и предложения говядины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государствам-членам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4)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Сводный прогнозный баланс спроса и предложения свинины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государствам-членам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5)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Сводный прогнозный баланс спроса и предложения баранины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6)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Сводный прогнозный баланс спроса и предложения мяса птицы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государствам-членам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7)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Сводный прогнозный баланс спроса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молока и молокопродуктов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490"/>
        <w:gridCol w:w="993"/>
        <w:gridCol w:w="5540"/>
        <w:gridCol w:w="497"/>
        <w:gridCol w:w="64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8)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Сводный прогнозный баланс спроса и предложения сахара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сахарной свеклы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 сахара-сырца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(торговля)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(форма 9)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Сводный прогнозный баланс спроса и предложения масел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растительных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74"/>
        <w:gridCol w:w="50"/>
        <w:gridCol w:w="8371"/>
        <w:gridCol w:w="25"/>
        <w:gridCol w:w="64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подсолнечного – всего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соевого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масла рапсового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масел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10)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Сводный прогнозный баланс спроса и предложения картофеля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продуктов его переработки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семена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 скоту и птице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11)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Сводный прогнозный баланс спроса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яиц и яйцепродуктов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(млн.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1560"/>
        <w:gridCol w:w="1040"/>
        <w:gridCol w:w="5540"/>
        <w:gridCol w:w="1020"/>
        <w:gridCol w:w="1400"/>
        <w:gridCol w:w="1400"/>
        <w:gridCol w:w="14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непищевые цели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12)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Сводный прогноз спроса и предложения овоще-бахчевых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продуктов их переработки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68"/>
        <w:gridCol w:w="5117"/>
        <w:gridCol w:w="829"/>
        <w:gridCol w:w="936"/>
        <w:gridCol w:w="4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13)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Сводный прогноз спроса и предложения фруктов и ягод,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продуктов их переработки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68"/>
        <w:gridCol w:w="5117"/>
        <w:gridCol w:w="829"/>
        <w:gridCol w:w="936"/>
        <w:gridCol w:w="4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использование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на продовольственные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14)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Сводный прогнозный баланс спроса и предложения льноволокна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68"/>
        <w:gridCol w:w="5117"/>
        <w:gridCol w:w="829"/>
        <w:gridCol w:w="936"/>
        <w:gridCol w:w="4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15)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Сводный прогнозный баланс спроса и предложения кожевенного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сырья и продуктов его переработки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97"/>
        <w:gridCol w:w="4993"/>
        <w:gridCol w:w="745"/>
        <w:gridCol w:w="1116"/>
        <w:gridCol w:w="3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использование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16)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Сводный прогнозный баланс спроса и предложения хлопковолокна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продуктов его переработки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97"/>
        <w:gridCol w:w="4993"/>
        <w:gridCol w:w="745"/>
        <w:gridCol w:w="1116"/>
        <w:gridCol w:w="3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конец года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17)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Сводный прогнозный баланс спроса и предложения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продуктов ее переработки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4"/>
        <w:gridCol w:w="1495"/>
        <w:gridCol w:w="1907"/>
        <w:gridCol w:w="1907"/>
        <w:gridCol w:w="1907"/>
      </w:tblGrid>
      <w:tr>
        <w:trPr>
          <w:trHeight w:val="420" w:hRule="atLeast"/>
        </w:trPr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2"/>
        <w:gridCol w:w="1"/>
        <w:gridCol w:w="1"/>
        <w:gridCol w:w="2497"/>
        <w:gridCol w:w="4993"/>
        <w:gridCol w:w="745"/>
        <w:gridCol w:w="1116"/>
        <w:gridCol w:w="3"/>
        <w:gridCol w:w="1400"/>
        <w:gridCol w:w="1400"/>
        <w:gridCol w:w="2"/>
        <w:gridCol w:w="1200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начало года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(импорт)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ресурсов (без учета взаимной торговли)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использование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потребление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потребление – всего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Взаимная торговля (вывоз)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(экспорт) – 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использование (без учета взаимной торговли)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взаимной торговли):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конец года – всего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государствам-членам: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18)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Прогнозы взаимной торговли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экономического союза (спрос)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вида сельскохозяйственной продукции и продовольствия)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(единица измерения)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65"/>
        <w:gridCol w:w="1578"/>
        <w:gridCol w:w="1578"/>
        <w:gridCol w:w="1578"/>
        <w:gridCol w:w="1578"/>
        <w:gridCol w:w="1603"/>
        <w:gridCol w:w="1579"/>
        <w:gridCol w:w="15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из государств-членов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65"/>
        <w:gridCol w:w="1578"/>
        <w:gridCol w:w="1578"/>
        <w:gridCol w:w="1578"/>
        <w:gridCol w:w="1578"/>
        <w:gridCol w:w="1603"/>
        <w:gridCol w:w="1579"/>
        <w:gridCol w:w="15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из государств-членов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(форма 19)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Прогнозы взаимной торговли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экономического союза (предложение)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вида сельскохозяйственной продукции и продовольствия)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(единица измерения)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65"/>
        <w:gridCol w:w="1578"/>
        <w:gridCol w:w="1578"/>
        <w:gridCol w:w="1578"/>
        <w:gridCol w:w="1578"/>
        <w:gridCol w:w="1603"/>
        <w:gridCol w:w="1579"/>
        <w:gridCol w:w="15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в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из государств-членов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(текущий)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65"/>
        <w:gridCol w:w="1578"/>
        <w:gridCol w:w="1578"/>
        <w:gridCol w:w="1578"/>
        <w:gridCol w:w="1578"/>
        <w:gridCol w:w="1603"/>
        <w:gridCol w:w="1579"/>
        <w:gridCol w:w="15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в государства-члены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из государств-членов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(прогнозный)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