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2622" w14:textId="8de2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чувствительных сельскохозяйственных товаров, в отношении которых государствами - членами Евразийского экономического союза осуществляется взаимное предоставление планов (программ) развития производства, и реализации пункта 2 статьи 95 Договора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февраля 2016 года № 66.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и в целях обеспечения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Совет Евразийской экономической комиссии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сельскохозяйственных товаров, в отношении которых государствами – членами Евразийского экономического союза осуществляется взаимное предоставление планов (программ) развития производства (далее – перечень).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 – членам Евразийского экономического союза: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календарных дней со дня вступления настоящего Решения в силу предоставить действующие планы (программы) развития производства по каждому из чувствительных сельскохозяйственных товаров, указанных в перечне, друг другу и в Евразийскую экономическую комиссию на русском языке либо на государственном языке государства-члена (с приложением перевода на русский язык);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календарных дней с даты принятия новых либо внесения изменений в действующие планы (программы) развития производства чувствительных сельскохозяйственных товаров, указанных в перечне, предоставлять такие планы (программы) друг другу и в Евразийскую экономическую комиссию на русском языке либо на государственном языке государства-члена (с приложением перевода на русский язык);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в Евразийскую экономическую комиссию предложения о проведении консультаций,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не позднее чем за 30 календарных дней до предполагаемой даты проведения консультаций;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предложений о внесении изменений в перечень учитывать, что под чувствительными сельскохозяйственными товарами понимаются сельскохозяйственные товары, производство и взаимная торговля которыми имеют социально-экономическое значение для устойчивого развития агропромышленного комплекса и сельской местности государств – членов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Совета Евразийской экономической комиссии от 15.09.2017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66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чувствительных сельскохозяйственных товаров,</w:t>
      </w:r>
      <w:r>
        <w:br/>
      </w:r>
      <w:r>
        <w:rPr>
          <w:rFonts w:ascii="Times New Roman"/>
          <w:b/>
          <w:i w:val="false"/>
          <w:color w:val="000000"/>
        </w:rPr>
        <w:t>в отношении которых государствами – членами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осуществляется взаимное предоставление планов (программ) развития производства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Молоко и молокопродукты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Мясо и мясопродукты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Овощи, фрукты, фасоль, бахчевые культуры и продукция их переработки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Рис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Сахар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6.Семена масличных культур и продукция их переработки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Табак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Хлопок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