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1b9c" w14:textId="be01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17 декабря 2012 г.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95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декабря 2012 г. № 117 «О Методике определения монопольно высоких и монопольно низких цен»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2016 г. № 95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Совета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от 17 декабря 2012 г. № 117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монопольно низких» заменить словом «(низких)».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монопольно высоких и монопольно низких цен, утвержденной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«и монопольно низких» заменить словом «(низких)»;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 тексту слова «Таможенного союза и Единого экономического пространства» заменить словом «Союза»;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Методика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(приложение № 19 к Договору о Евразийском экономическом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года) (далее – Протокол) и применяется Евразийской экономической комиссией в соответствии с ее компетенцией при осуществлении контроля за соблюдением общих правил конкуренции на трансграничных рынках на территориях двух и более государств –членов Евразийского экономического союза (далее соответственно –трансграничные рынки, Союз) хозяйствующими субъектами (субъектами рынка), занимающими доминирующее положение на трансграничных рынках.»;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«статье 2 Соглашения» заменить словами «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«подпунктом 1 пункта 1 статьи 29 Соглашения» заменить словами «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подпункты «а» и «б»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«а) если эта цена превышает сумму необходимых для производства и реализации такого товара расходов и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если эта цена превышает цену, которая сформировалась в условиях конкуренции на товарном рынке, сопоставимом по составу покупателей или продавцов товара, условиям обращения товара, условиям доступа на товарный рынок, государственному регулированию, включая налогообложение и таможенно-тарифное регулирование (далее – сопоставимый товарный рынок), при наличии такого рынка на территории Союза или за ее пределами.»;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«Не признается» заменить словами «Не может быть признана»;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«тарифа на» дополнить словом «такой»;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подпункты «а» и «б»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«а) если эта цена ниже суммы фактических или необходимых для производства и реализации такого товара расходов и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если эта цена ниже цены, которая сформировалась в условиях конкуренции на сопоставимом товарном рынке при наличии такого рынка на территории Союза или за ее пределами.»;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«Не признается» заменить словами «Не может быть признана»;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 абзаце первом и подпункте «а»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«единых правил конкуренции» заменить словами «общих правил конкуренции на трансграничных рынках».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