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d882" w14:textId="c77d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временно ввозимых с полным условным освобождением от уплаты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дополнить пунктом 37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Суда парусные со вспомогательным двигателем или без него, лодки моторные или катера длиной более 7,5 метра и массой более 100 кг, оборудованные палубой и каютой (каютами), классифицируемые кодом 8903 ТН ВЭД ЕАЭС, находящиеся в собственности иностранных лиц, зафрахтованные лицами государств – членов Евразийского экономического союза по договору тайм-чартера или бербоут-чартера, при условии их использования в некоммерческих целях (для отдыха, туризма и культурных мероприятий) на водных объектах (морских и (или) внутренних).".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