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dc64" w14:textId="7e9d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техническом регламенте Евразийского экономического союза "О требованиях к минеральным удобрениям"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150.</w:t>
      </w:r>
    </w:p>
    <w:p>
      <w:pPr>
        <w:spacing w:after="0"/>
        <w:ind w:left="0"/>
        <w:jc w:val="left"/>
      </w:pPr>
    </w:p>
    <w:bookmarkStart w:name="z190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требованиях к минеральным удобрениям" (ТР ЕАЭС 39/2016).</w:t>
      </w:r>
    </w:p>
    <w:bookmarkStart w:name="z19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технический регламент Евразийского экономического союза "О требованиях к минеральным удобрениям" (ТР ЕАЭС 39/2016) вступает в силу с даты вступления в силу технического регламента Евразийского экономического союза "О безопасности химической продукции" либо с даты вступления в силу решения Совета Евразийской экономической комиссии о порядке формирования и ведения единого реестра разрешенных к обращению на рынке Евразийского экономического союза минеральных удобрений в зависимости от того, какая дата является более поздней, но не ранее чем по истечении 180 календарных дней с даты вступления настоящего Решения в силу.</w:t>
      </w:r>
    </w:p>
    <w:bookmarkEnd w:id="1"/>
    <w:bookmarkStart w:name="z19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19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г. № 150</w:t>
            </w:r>
          </w:p>
        </w:tc>
      </w:tr>
    </w:tbl>
    <w:bookmarkStart w:name="z19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>"О требованиях к минеральным удобрениям"</w:t>
      </w:r>
      <w:r>
        <w:br/>
      </w:r>
      <w:r>
        <w:rPr>
          <w:rFonts w:ascii="Times New Roman"/>
          <w:b/>
          <w:i w:val="false"/>
          <w:color w:val="000000"/>
        </w:rPr>
        <w:t>(ТР ЕАЭС 39/2016)</w:t>
      </w:r>
    </w:p>
    <w:bookmarkEnd w:id="4"/>
    <w:bookmarkStart w:name="z19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технический регламент разработан в соответствии со статьей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5"/>
    <w:bookmarkStart w:name="z19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технический регламент устанавливает обязательные для применения и исполнения на территории Евразийского экономического союза (далее – Союз) требования безопасности к минеральным удобрениям, выпускаемым в обращение на рынке Союза и связанным с требованиями к минеральным удобрениям процессам хранения, перевозки и маркировки минеральных удобрений.</w:t>
      </w:r>
    </w:p>
    <w:bookmarkEnd w:id="6"/>
    <w:bookmarkStart w:name="z19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Область применения</w:t>
      </w:r>
    </w:p>
    <w:bookmarkEnd w:id="7"/>
    <w:bookmarkStart w:name="z19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разработан в целях защиты на территории Союза жизни и (или) здоровья человека, животных и растений, окружающей среды, имущества, предупреждения действий, вводящих в заблуждение потребителей минеральных удобрений относительно их назначения и безопасности. </w:t>
      </w:r>
    </w:p>
    <w:bookmarkEnd w:id="8"/>
    <w:bookmarkStart w:name="z19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технический регламент распространяется на:</w:t>
      </w:r>
    </w:p>
    <w:bookmarkEnd w:id="9"/>
    <w:bookmarkStart w:name="z19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минеральные удобрения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, производимые, ввозимые (импортируемые) на таможенную территорию Союза;</w:t>
      </w:r>
    </w:p>
    <w:bookmarkEnd w:id="10"/>
    <w:bookmarkStart w:name="z19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связанные с требованиями к минеральным удобрениям процессы хранения, перевозки и маркировки минеральных удобрений.</w:t>
      </w:r>
    </w:p>
    <w:bookmarkEnd w:id="11"/>
    <w:bookmarkStart w:name="z19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настоящего технического регламента не распространяются на органические и органо-минеральные удобрения.</w:t>
      </w:r>
    </w:p>
    <w:bookmarkEnd w:id="12"/>
    <w:bookmarkStart w:name="z19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Применительно к минеральным удобрениям и их компонентам опасными факторами являются:</w:t>
      </w:r>
    </w:p>
    <w:bookmarkEnd w:id="13"/>
    <w:bookmarkStart w:name="z19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пожаро- и взрывоопасность;</w:t>
      </w:r>
    </w:p>
    <w:bookmarkEnd w:id="14"/>
    <w:bookmarkStart w:name="z19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окисляющие свойства;</w:t>
      </w:r>
    </w:p>
    <w:bookmarkEnd w:id="15"/>
    <w:bookmarkStart w:name="z19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коррозионные свойства;</w:t>
      </w:r>
    </w:p>
    <w:bookmarkEnd w:id="16"/>
    <w:bookmarkStart w:name="z19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опасность для человека: пероральная, дермальная и ингаляционная токсичность, раздражающее действие на кожу и слизистые оболочки, кожно-резорбтивное действие, аллергенность, способность к биоаккумуляции в организме человека и к накоплению в объектах окружающей среды (вода, почва, растения);</w:t>
      </w:r>
    </w:p>
    <w:bookmarkEnd w:id="17"/>
    <w:bookmarkStart w:name="z19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радиактивная опасность;</w:t>
      </w:r>
    </w:p>
    <w:bookmarkEnd w:id="18"/>
    <w:bookmarkStart w:name="z19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влияние на экосистемы.</w:t>
      </w:r>
    </w:p>
    <w:bookmarkEnd w:id="19"/>
    <w:bookmarkStart w:name="z19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понятия</w:t>
      </w:r>
    </w:p>
    <w:bookmarkEnd w:id="20"/>
    <w:bookmarkStart w:name="z19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применения настоящего технического регламента используются понятия, которые означают следующее: </w:t>
      </w:r>
    </w:p>
    <w:bookmarkEnd w:id="21"/>
    <w:bookmarkStart w:name="z19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"изготовитель" – юридическое лицо или физическое лицо, зарегистрированное в качестве индивидуального предпринимателя, в том числе иностранный изготовитель, осуществляющие от своего имени производство или производство и реализацию минеральных удобрений и ответственные за их соответствие требованиям настоящего технического регламента;</w:t>
      </w:r>
    </w:p>
    <w:bookmarkEnd w:id="22"/>
    <w:bookmarkStart w:name="z19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"импортер" – резидент государства – члена Союза, который заключил с нерезидентом государства – члена Союза внешнеторговый договор на ввоз на территорию Союза минеральных удобрений, осуществляет реализацию минеральных удобрений и несет ответственность за их соответствие требованиям настоящего технического регламента;</w:t>
      </w:r>
    </w:p>
    <w:bookmarkEnd w:id="23"/>
    <w:bookmarkStart w:name="z19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"микроудобрение" – минеральное удобрение, в котором питательными элементами являются микроэлементы;</w:t>
      </w:r>
    </w:p>
    <w:bookmarkEnd w:id="24"/>
    <w:bookmarkStart w:name="z19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"минеральное удобрение" – удобрение промышленного или ископаемого происхождения, содержащее питательные элементы в минеральной форме;</w:t>
      </w:r>
    </w:p>
    <w:bookmarkEnd w:id="25"/>
    <w:bookmarkStart w:name="z19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"паспорт безопасности" – документ установленной формы, содержащий сведения об опасных свойствах минерального удобрения, сведения об изготовителе (уполномоченном изготовителем лице), импортере данного минерального удобрения, меры предупреждения и требования безопасности для обеспечения безопасного обращения на территории Союза минерального удобрения;</w:t>
      </w:r>
    </w:p>
    <w:bookmarkEnd w:id="26"/>
    <w:bookmarkStart w:name="z19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"питательный элемент, действующее вещество" – химический элемент удобрения, необходимый для роста и развития растений;</w:t>
      </w:r>
    </w:p>
    <w:bookmarkEnd w:id="27"/>
    <w:bookmarkStart w:name="z19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"предупредительная маркировка" – составная часть информации, представляющая собой комплекс сведений (в виде краткого текста, отдельных графических или цветовых символов и их комбинаций), наносимых на упаковку либо на этикетку;</w:t>
      </w:r>
    </w:p>
    <w:bookmarkEnd w:id="28"/>
    <w:bookmarkStart w:name="z19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"удобрение" – вещество для питания растений и повышения плодородия почвы;</w:t>
      </w:r>
    </w:p>
    <w:bookmarkEnd w:id="29"/>
    <w:bookmarkStart w:name="z19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"удобрение с микроэлементами" – минеральное удобрение, содержащее макро- и микроэлементы;</w:t>
      </w:r>
    </w:p>
    <w:bookmarkEnd w:id="30"/>
    <w:bookmarkStart w:name="z19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"уполномоченное изготовителем лицо" – зарегистрированные в установленном законодательством государства – члена Союза порядке на его территории юридическое лицо или физическое лицо в качестве индивидуального предпринимателя, которые на основании договора с изготовителем, в том числе иностранным изготовителем, осуществляют действия от имени этого изготовителя при оценке соответствия и выпуске в обращение минеральных удобрений на территории Союза, а также несут ответственность за несоответствие минеральных удобрений требованиям технических регламентов Союза (Таможенного союза), действие которых на них распространяется.</w:t>
      </w:r>
    </w:p>
    <w:bookmarkEnd w:id="31"/>
    <w:bookmarkStart w:name="z19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идентификации минеральных удобрений</w:t>
      </w:r>
    </w:p>
    <w:bookmarkEnd w:id="32"/>
    <w:bookmarkStart w:name="z19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Идентификация минеральных удобрений проводится изготовителем (уполномоченным изготовителем лицом), импортером, органом государства – члена Союза (далее – государство-член) по осуществлению государственного контроля (надзора), иными заинтересованными лицами. </w:t>
      </w:r>
    </w:p>
    <w:bookmarkEnd w:id="33"/>
    <w:bookmarkStart w:name="z19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Идентификация минеральных удобрений проводится посредством установления соответствия внешнего вида и состава минерального удобрения, содержания питательных элементов, в том числе макро- и микроэлементов, указанных на упаковке, этикетке или ярлыке и в сопроводительной документации, данным, полученным в ходе лабораторного исследования образца минерального удобрения.</w:t>
      </w:r>
    </w:p>
    <w:bookmarkEnd w:id="34"/>
    <w:bookmarkStart w:name="z19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Правила обращения минеральных удобрений на рынке Союза</w:t>
      </w:r>
    </w:p>
    <w:bookmarkEnd w:id="35"/>
    <w:bookmarkStart w:name="z19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Минеральные удобрения выпускаются в обращение на рынке Союза при их соответствии требованиям настоящего технического регламента и иных вступивших в силу технических регламентов Союза (Таможенного союза), действие которых на них распространяется, и при условии, что они прошли оценку соответствия согласно разделу IX настоящего технического регламента. </w:t>
      </w:r>
    </w:p>
    <w:bookmarkEnd w:id="36"/>
    <w:bookmarkStart w:name="z19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Минеральные удобрения, соответствие которых требованиям настоящего технического регламента и иных вступивших в силу технических регламентов Союза (Таможенного союза), действие которых на них распространяется, не подтверждено, не должны быть маркированы единым знаком обращения продукции на рынке Союза. </w:t>
      </w:r>
    </w:p>
    <w:bookmarkEnd w:id="37"/>
    <w:bookmarkStart w:name="z19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Минеральные удобрения, не маркированные единым знаком обращения продукции на рынке Союза, не допускаются к выпуску в обращение на рынке Союза.</w:t>
      </w:r>
    </w:p>
    <w:bookmarkEnd w:id="38"/>
    <w:bookmarkStart w:name="z19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Требования безопасности минеральных удобрений</w:t>
      </w:r>
    </w:p>
    <w:bookmarkEnd w:id="39"/>
    <w:bookmarkStart w:name="z19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Минеральные удобрения должны удовлетворять требованиям безопасности, установленным настоящим разделом, а также нормам радиационной и химической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0"/>
    <w:bookmarkStart w:name="z19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Минеральные удобрения должны быть классифицированы по опасным факторам, сведения о которых приводятся в паспорте безопасности и предупредительной маркировке. </w:t>
      </w:r>
    </w:p>
    <w:bookmarkEnd w:id="41"/>
    <w:bookmarkStart w:name="z19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Минеральные удобрения, предназначенные для реализации через торговую сеть (предприятия или организации оптовой и розничной торговли), должны быть упакованы. Не допускается реализация в розничной торговле минеральных удобрений с нарушенной упаковкой.</w:t>
      </w:r>
    </w:p>
    <w:bookmarkEnd w:id="42"/>
    <w:bookmarkStart w:name="z19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Требования к процессам хранения и перевозки минеральных удобрений</w:t>
      </w:r>
    </w:p>
    <w:bookmarkEnd w:id="43"/>
    <w:bookmarkStart w:name="z19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Хранение минеральных удобрений осуществляется в соответствии с законодательством государств-членов. </w:t>
      </w:r>
    </w:p>
    <w:bookmarkEnd w:id="44"/>
    <w:bookmarkStart w:name="z19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Твердые минеральные удобрения перевозятся в крытых железнодорожных вагонах, полувагонах, закрытых транспортных емкостях судов (трюмы, танки) и автомобильным транспортом с обязательным их укрытием в кузове. Упакованные в мягкие контейнеры с полимерными вкладышами твердые минеральные удобрения допускается перевозить в полувагонах, на открытых палубных судах и автомобильным транспортом без укрытия в кузове. Упакованные в полимерные мешки твердые минеральные удобрения допускается перевозить автомобильным транспортом без укрытия в кузове.</w:t>
      </w:r>
    </w:p>
    <w:bookmarkEnd w:id="45"/>
    <w:bookmarkStart w:name="z19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 допускается перевозка насыпью в одном вагоне, транспортной емкости судна (трюме, танке) или кузове автомобиля других грузов одновременно с минеральными удобрениями. </w:t>
      </w:r>
    </w:p>
    <w:bookmarkEnd w:id="46"/>
    <w:bookmarkStart w:name="z19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Перевозка минеральных удобрений, классифицированных как опасные грузы, в том числе обладающие пожаро- и взрывоопасными свойствами, должна осуществляться в соответствии с нормами и правилами перевозки опасных грузов, действующими на территориях государств-членов.</w:t>
      </w:r>
    </w:p>
    <w:bookmarkEnd w:id="47"/>
    <w:bookmarkStart w:name="z19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Перевозка жидких минеральных удобрений (аммиачной воды, углеаммиаката, жидких комплексных минеральных удобрений) наливом производится железнодорожным и автомобильным транспортом, в контейнерах или таре в соответствии с положениями, изложенными в паспорте безопасности. </w:t>
      </w:r>
    </w:p>
    <w:bookmarkEnd w:id="48"/>
    <w:bookmarkStart w:name="z19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жидких минеральных удобрений наливом водным транспортом производится в соответствии с требованиями, предусмотренными нормативно-техническими документами на конкретный вид минерального удобрения.</w:t>
      </w:r>
    </w:p>
    <w:bookmarkEnd w:id="49"/>
    <w:bookmarkStart w:name="z19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жидких комплексных минеральных удобрений, расфасованных в потребительскую тару, производится железнодорожным и автомобильным транспортом, транспортными пакетами на поддонах, в контейнерах или таре в соответствии с положениями, изложенными в паспорте безопасности.</w:t>
      </w:r>
    </w:p>
    <w:bookmarkEnd w:id="50"/>
    <w:bookmarkStart w:name="z19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Степень заполнения емкостей для перевозки жидких минеральных удобрений определяется с учетом объемного расширения продукта при возможном перепаде температур в пути следования.</w:t>
      </w:r>
    </w:p>
    <w:bookmarkEnd w:id="51"/>
    <w:bookmarkStart w:name="z19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Перевозка минеральных удобрений воздушным транспортом производится в соответствии с требованиями, предусмотренными нормативно-техническими документами на конкретный вид минерального удобрения.</w:t>
      </w:r>
    </w:p>
    <w:bookmarkEnd w:id="52"/>
    <w:bookmarkStart w:name="z19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Требования к маркировке минеральных удобрений</w:t>
      </w:r>
    </w:p>
    <w:bookmarkEnd w:id="53"/>
    <w:bookmarkStart w:name="z19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Маркировка минеральных удобрений должна содержать следующую информацию:</w:t>
      </w:r>
    </w:p>
    <w:bookmarkEnd w:id="54"/>
    <w:bookmarkStart w:name="z19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минерального удобрения и его назначение;</w:t>
      </w:r>
    </w:p>
    <w:bookmarkEnd w:id="55"/>
    <w:bookmarkStart w:name="z19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наименование и содержание питательных элементов, в том числе микро- и макроэлементов; </w:t>
      </w:r>
    </w:p>
    <w:bookmarkEnd w:id="56"/>
    <w:bookmarkStart w:name="z19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(фирменное наименование) изготовителя и его место нахождения (адрес юридического лица, фактический адрес – для юридического лица, фамилия, имя и отчество (при наличии), место жительства, сведения о государственной регистрации физического лица, зарегистрированного в качестве индивидуального предпринимателя, – для физического лица), наименование страны, где изготовлены минеральные удобрения;</w:t>
      </w:r>
    </w:p>
    <w:bookmarkEnd w:id="57"/>
    <w:bookmarkStart w:name="z19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товарный знак изготовителя (при наличии);</w:t>
      </w:r>
    </w:p>
    <w:bookmarkEnd w:id="58"/>
    <w:bookmarkStart w:name="z19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обозначение документа, в соответствии с которым производится и поставляется минеральное удобрение;</w:t>
      </w:r>
    </w:p>
    <w:bookmarkEnd w:id="59"/>
    <w:bookmarkStart w:name="z19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марка и (или) сорт минерального удобрения (при наличии);</w:t>
      </w:r>
    </w:p>
    <w:bookmarkEnd w:id="60"/>
    <w:bookmarkStart w:name="z19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номер партии (для фасованных минеральных удобрений);</w:t>
      </w:r>
    </w:p>
    <w:bookmarkEnd w:id="61"/>
    <w:bookmarkStart w:name="z19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номинальное количество минеральных удобрений (масса или объем) (для фасованных минеральных удобрений);</w:t>
      </w:r>
    </w:p>
    <w:bookmarkEnd w:id="62"/>
    <w:bookmarkStart w:name="z19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рекомендации по перевозке, применению и хранению минерального удобрения;</w:t>
      </w:r>
    </w:p>
    <w:bookmarkEnd w:id="63"/>
    <w:bookmarkStart w:name="z19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регистрационный номер минерального удобрения, зарегистрированного в государстве-члене; </w:t>
      </w:r>
    </w:p>
    <w:bookmarkEnd w:id="64"/>
    <w:bookmarkStart w:name="z19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дата изготовления или дата отгрузки минерального удобрения (месяц, год);</w:t>
      </w:r>
    </w:p>
    <w:bookmarkEnd w:id="65"/>
    <w:bookmarkStart w:name="z19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дата фасования (месяц, год – для фасованных минеральных удобрений, если их фасование производится не изготовителем этих минеральных удобрений);</w:t>
      </w:r>
    </w:p>
    <w:bookmarkEnd w:id="66"/>
    <w:bookmarkStart w:name="z19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условия хранения минерального удобрения;</w:t>
      </w:r>
    </w:p>
    <w:bookmarkEnd w:id="67"/>
    <w:bookmarkStart w:name="z19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гарантийный срок хранения минерального удобрения;</w:t>
      </w:r>
    </w:p>
    <w:bookmarkEnd w:id="68"/>
    <w:bookmarkStart w:name="z19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штриховой идентификационный код минерального удобрения (код, представляющий знаки с помощью наборов параллельных штрихов различной толщины и шага, которые оптически считываются путем поперечного сканирования) – для минеральных удобрений, реализуемых через розничную торговую сеть;</w:t>
      </w:r>
    </w:p>
    <w:bookmarkEnd w:id="69"/>
    <w:bookmarkStart w:name="z19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ограничения по применению минерального удобрения (совместимость со средствами защиты растений, фитотоксичность);</w:t>
      </w:r>
    </w:p>
    <w:bookmarkEnd w:id="70"/>
    <w:bookmarkStart w:name="z19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меры предосторожности при работе с минеральным удобрением, его транспортировке и хранении, включая способы обезвреживания пролитого или рассыпанного минерального удобрения;</w:t>
      </w:r>
    </w:p>
    <w:bookmarkEnd w:id="71"/>
    <w:bookmarkStart w:name="z19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 способы обезвреживания и утилизации тары из-под минерального удобрения;</w:t>
      </w:r>
    </w:p>
    <w:bookmarkEnd w:id="72"/>
    <w:bookmarkStart w:name="z19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 описание клинической картины острых отравлений (при наличии данных), медицинские рекомендации, в том числе с указанием антидота (при наличии) и мер первой помощи при отравлении.</w:t>
      </w:r>
    </w:p>
    <w:bookmarkEnd w:id="73"/>
    <w:bookmarkStart w:name="z19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Маркировка минеральных удобрений должна содержать соответствующую предупредительную маркировку, если минеральное удобрение классифицируется как опасное.</w:t>
      </w:r>
    </w:p>
    <w:bookmarkEnd w:id="74"/>
    <w:bookmarkStart w:name="z19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Маркировка фасованных минеральных удобрений наносится на упаковку либо на этикетку или ярлык, прикрепляемые к упаковке способом, обеспечивающим их сохранность.</w:t>
      </w:r>
    </w:p>
    <w:bookmarkEnd w:id="75"/>
    <w:bookmarkStart w:name="z19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места для нанесения маркировки в полном объеме на упаковке, этикетке или ярлыке недостаточно, часть информации наносится на листок-вкладыш, который прилагается к каждой единице упаковки, этикетки или ярлыка и на котором приводится информация в соответствии с пунктом 21 настоящего технического регламента, или маркировка наносится на упаковку с обеих сторон.</w:t>
      </w:r>
    </w:p>
    <w:bookmarkEnd w:id="76"/>
    <w:bookmarkStart w:name="z19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поставке неупакованных минеральных удобрений информация, указанная в пункте 21 настоящего технического регламента (за исключением подпунктов "ж", "з", "м" и "п"), представляется в составе комплекта сопроводительных документов.</w:t>
      </w:r>
    </w:p>
    <w:bookmarkEnd w:id="77"/>
    <w:bookmarkStart w:name="z19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Транспортная маркировка минеральных удобрений должна соответствовать нормам и правилам перевозки опасных грузов, действующим на территориях государств-членов.</w:t>
      </w:r>
    </w:p>
    <w:bookmarkEnd w:id="78"/>
    <w:bookmarkStart w:name="z19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Маркировка минеральных удобрений наносится на русском языке и при наличии соответствующих требований в законодательстве государств-членов на государственном (государственных) языке (языках) государства-члена, на территории которого реализуются минеральные удобрения. </w:t>
      </w:r>
    </w:p>
    <w:bookmarkEnd w:id="79"/>
    <w:bookmarkStart w:name="z19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Маркировка минеральных удобрений должна быть четкой и разборчивой и располагаться в доступном для осмотра месте.</w:t>
      </w:r>
    </w:p>
    <w:bookmarkEnd w:id="80"/>
    <w:bookmarkStart w:name="z19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Обеспечение соответствия минеральных удобрений требованиям безопасности</w:t>
      </w:r>
    </w:p>
    <w:bookmarkEnd w:id="81"/>
    <w:bookmarkStart w:name="z19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Соответствие минеральных удобрений настоящему техническому регламенту обеспечивается выполнением его требований и требований иных вступивших в силу технических регламентов Союза (Таможенного союза), действие которых распространяется на минеральные удобрения, непосредственно либо выполнением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bookmarkEnd w:id="82"/>
    <w:bookmarkStart w:name="z19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Методы исследований (испытаний) и измерений минеральных удобрений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</w:t>
      </w:r>
    </w:p>
    <w:bookmarkEnd w:id="83"/>
    <w:bookmarkStart w:name="z19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Оценка соответствия минеральных удобрений</w:t>
      </w:r>
    </w:p>
    <w:bookmarkEnd w:id="84"/>
    <w:bookmarkStart w:name="z19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соответствия минеральных удобрений требованиям настоящего технического регламента осуществляется в форме регистрации. </w:t>
      </w:r>
    </w:p>
    <w:bookmarkEnd w:id="85"/>
    <w:bookmarkStart w:name="z19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Регистрация минеральных удобрений проводится уполномоченными органами государств-членов (далее – уполномоченные органы) в порядке, установленном Евразийской экономической комиссией. Минеральные удобрения должны быть внесены в единый реестр разрешенных к обращению на рынке Союза минеральных удобрений.</w:t>
      </w:r>
    </w:p>
    <w:bookmarkEnd w:id="86"/>
    <w:bookmarkStart w:name="z19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реестр разрешенных к обращению на рынке Союза минеральных удобрений формируется из национальных частей.</w:t>
      </w:r>
    </w:p>
    <w:bookmarkEnd w:id="87"/>
    <w:p>
      <w:pPr>
        <w:spacing w:after="0"/>
        <w:ind w:left="0"/>
        <w:jc w:val="both"/>
      </w:pPr>
      <w:bookmarkStart w:name="z1997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регистрации минеральных удобрений, формирования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ведения единого реестра разрешенных к обращению на рынке Союза минеральных удобрений разрабатывается и утверждается Евразийской экономической комиссией. </w:t>
      </w:r>
    </w:p>
    <w:p>
      <w:pPr>
        <w:spacing w:after="0"/>
        <w:ind w:left="0"/>
        <w:jc w:val="both"/>
      </w:pPr>
      <w:bookmarkStart w:name="z1998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регистрации минеральных удобрений заявителями могут быть зарегистрированные на территории государства-члена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его законодательством юридическое лицо или физическое лицо в качестве индивидуального предпринимателя, являющиеся изготовителем, либо уполномоченным изготовителем лицом, либо импортером.</w:t>
      </w:r>
    </w:p>
    <w:bookmarkStart w:name="z19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Уполномоченный орган:</w:t>
      </w:r>
    </w:p>
    <w:bookmarkEnd w:id="90"/>
    <w:bookmarkStart w:name="z20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осуществляет рассмотрение и проверку представленных документов и содержащихся в них сведений;</w:t>
      </w:r>
    </w:p>
    <w:bookmarkEnd w:id="91"/>
    <w:bookmarkStart w:name="z20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принимает решение о регистрации минерального удобрения;</w:t>
      </w:r>
    </w:p>
    <w:bookmarkEnd w:id="92"/>
    <w:bookmarkStart w:name="z20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присваивает минеральному удобрению индивидуальный регистрационный номер;</w:t>
      </w:r>
    </w:p>
    <w:bookmarkEnd w:id="93"/>
    <w:bookmarkStart w:name="z20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включает минеральное удобрение в национальную часть единого реестра разрешенных к обращению на рынке Союза минеральных удобрений;</w:t>
      </w:r>
    </w:p>
    <w:bookmarkEnd w:id="94"/>
    <w:bookmarkStart w:name="z20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выдает свидетельство о регистрации минерального удобрения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5"/>
    <w:bookmarkStart w:name="z20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Срок действия свидетельства о регистрации минерального удобрения не ограничен.</w:t>
      </w:r>
    </w:p>
    <w:bookmarkEnd w:id="96"/>
    <w:bookmarkStart w:name="z20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Маркировка минеральных удобрений единым знаком обращения продукции на рынке Союза</w:t>
      </w:r>
    </w:p>
    <w:bookmarkEnd w:id="97"/>
    <w:bookmarkStart w:name="z20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Минеральные удобрения, соответствующие требованиям настоящего технического регламента и иных вступивших в силу технических регламентов Союза (Таможенного союза), действие которых на них распространяется, прошедшие оценку соответствия согласно разделу IX настоящего технического регламента, маркируются единым знаком обращения продукции на рынке Союза.</w:t>
      </w:r>
    </w:p>
    <w:bookmarkEnd w:id="98"/>
    <w:bookmarkStart w:name="z20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Маркировка единым знаком обращения продукции на рынке Союза осуществляется перед выпуском минеральных удобрений в обращение на рынке Союза.</w:t>
      </w:r>
    </w:p>
    <w:bookmarkEnd w:id="99"/>
    <w:bookmarkStart w:name="z20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Единый знак обращения продукции на рынке Союза наносится на каждую единицу упаковки минерального удобрения или на этикетку (при невозможности нанесения знака на упаковку), а также приводится в прилагаемых к партии минерального удобрения сопроводительных документах.</w:t>
      </w:r>
    </w:p>
    <w:bookmarkEnd w:id="100"/>
    <w:bookmarkStart w:name="z20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Единый знак обращения продукции на рынке Союза наносится любым способом, обеспечивающим четкое и ясное изображение, сохраняющееся до момента полного использования минерального удобрения или его утилизации.</w:t>
      </w:r>
    </w:p>
    <w:bookmarkEnd w:id="101"/>
    <w:bookmarkStart w:name="z20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Защитительная оговорка</w:t>
      </w:r>
    </w:p>
    <w:bookmarkEnd w:id="102"/>
    <w:bookmarkStart w:name="z20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Уполномоченные органы государства-члена предпринимают все меры для ограничения и запрета выпуска в обращение на рынке Союза минеральных удобрений, не соответствующих требованиям настоящего технического регламента и иных вступивших в силу технических регламентов Союза (Таможенного союза), действие которых на них распространяется, а также для их изъятия из обращения. </w:t>
      </w:r>
    </w:p>
    <w:bookmarkEnd w:id="103"/>
    <w:bookmarkStart w:name="z20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уполномоченный орган государства-члена незамедлительно информирует другие государства-члены о принятых экстренных мерах и приступает к процессу консультаций и переговоров по данному вопросу. 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"О требованиях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минеральным удобрениям"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ЕАЭС 39/2016)</w:t>
            </w:r>
          </w:p>
        </w:tc>
      </w:tr>
    </w:tbl>
    <w:bookmarkStart w:name="z20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</w:t>
      </w:r>
      <w:r>
        <w:br/>
      </w:r>
      <w:r>
        <w:rPr>
          <w:rFonts w:ascii="Times New Roman"/>
          <w:b/>
          <w:i w:val="false"/>
          <w:color w:val="000000"/>
        </w:rPr>
        <w:t>минеральных удобрений, на которые распространяется действие технического регламента Евразийского экономического союза "О требованиях к минеральным удобрениям"</w:t>
      </w:r>
      <w:r>
        <w:br/>
      </w:r>
      <w:r>
        <w:rPr>
          <w:rFonts w:ascii="Times New Roman"/>
          <w:b/>
          <w:i w:val="false"/>
          <w:color w:val="000000"/>
        </w:rPr>
        <w:t>(ТР ЕАЭС 39/2016)</w:t>
      </w:r>
    </w:p>
    <w:bookmarkEnd w:id="105"/>
    <w:bookmarkStart w:name="z20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Минеральные удобрения в зависимости от их агрегатного состояния:</w:t>
      </w:r>
    </w:p>
    <w:bookmarkEnd w:id="106"/>
    <w:bookmarkStart w:name="z20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твердые (порошковидные, гранулированные, кристаллические);</w:t>
      </w:r>
    </w:p>
    <w:bookmarkEnd w:id="107"/>
    <w:bookmarkStart w:name="z20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жидкие (раствор, суспензия).</w:t>
      </w:r>
    </w:p>
    <w:bookmarkEnd w:id="108"/>
    <w:bookmarkStart w:name="z20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Минеральные удобрения по питательным элементам:</w:t>
      </w:r>
    </w:p>
    <w:bookmarkEnd w:id="109"/>
    <w:bookmarkStart w:name="z20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простые минеральные удобрения с заявленным содержанием одного основного питательного элемента (азот, фосфор, калий):</w:t>
      </w:r>
    </w:p>
    <w:bookmarkEnd w:id="110"/>
    <w:bookmarkStart w:name="z20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азотные;</w:t>
      </w:r>
    </w:p>
    <w:bookmarkEnd w:id="111"/>
    <w:bookmarkStart w:name="z20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фосфорные;</w:t>
      </w:r>
    </w:p>
    <w:bookmarkEnd w:id="112"/>
    <w:bookmarkStart w:name="z20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калийные;</w:t>
      </w:r>
    </w:p>
    <w:bookmarkEnd w:id="113"/>
    <w:bookmarkStart w:name="z20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комплексные (сложные, смешанные, сложные смешанные) минеральные удобрения с заявленным содержанием нескольких основных питательных элементов:</w:t>
      </w:r>
    </w:p>
    <w:bookmarkEnd w:id="114"/>
    <w:bookmarkStart w:name="z20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азотно-фосфорно-калийные;</w:t>
      </w:r>
    </w:p>
    <w:bookmarkEnd w:id="115"/>
    <w:bookmarkStart w:name="z20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азотно-фосфорные;</w:t>
      </w:r>
    </w:p>
    <w:bookmarkEnd w:id="116"/>
    <w:bookmarkStart w:name="z20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азотно-калийные;</w:t>
      </w:r>
    </w:p>
    <w:bookmarkEnd w:id="117"/>
    <w:bookmarkStart w:name="z20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фосфорно-калийные;</w:t>
      </w:r>
    </w:p>
    <w:bookmarkEnd w:id="118"/>
    <w:bookmarkStart w:name="z20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простые и комплексные минеральные удобрения с заявленным содержанием основных питательных элементов (азот, фосфор, калий), и (или) макроэлементов (кальций, магний, натрий, сера), и (или) микроэлементов (бор, марганец, медь, цинк, кобальт, молибден, железо);</w:t>
      </w:r>
    </w:p>
    <w:bookmarkEnd w:id="119"/>
    <w:bookmarkStart w:name="z20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микроудобрения.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"О требованиях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минеральным удобрениям"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ЕАЭС 39/2016)</w:t>
            </w:r>
          </w:p>
        </w:tc>
      </w:tr>
    </w:tbl>
    <w:bookmarkStart w:name="z20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 О Р М Ы</w:t>
      </w:r>
      <w:r>
        <w:br/>
      </w:r>
      <w:r>
        <w:rPr>
          <w:rFonts w:ascii="Times New Roman"/>
          <w:b/>
          <w:i w:val="false"/>
          <w:color w:val="000000"/>
        </w:rPr>
        <w:t>радиационной и химической безопасности минеральных удобрений</w:t>
      </w:r>
    </w:p>
    <w:bookmarkEnd w:id="121"/>
    <w:bookmarkStart w:name="z20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Нормы радиационной безопасности минеральных удобрений:</w:t>
      </w:r>
    </w:p>
    <w:bookmarkEnd w:id="122"/>
    <w:bookmarkStart w:name="z20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удельная активность естественных (природных) радионуклидов в минеральных удобрениях не должна превышать следующего значения:</w:t>
      </w:r>
    </w:p>
    <w:bookmarkEnd w:id="123"/>
    <w:bookmarkStart w:name="z20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+ 1,5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≤ 1,0 кБк/кг,</w:t>
      </w:r>
    </w:p>
    <w:bookmarkEnd w:id="124"/>
    <w:bookmarkStart w:name="z20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А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удельные активности урана-238 (радия-226) и тория-232 (тория-228), находящихся в радиоактивном равновесии с остальными членами уранового и ториевого рядов соответственно;</w:t>
      </w:r>
    </w:p>
    <w:bookmarkEnd w:id="125"/>
    <w:bookmarkStart w:name="z20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азотных удобрениях, производимых путем химического синтеза, радиоактивность не нормируется;</w:t>
      </w:r>
    </w:p>
    <w:bookmarkEnd w:id="126"/>
    <w:bookmarkStart w:name="z20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допустимое содержание изотопа калия 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К в минеральных удобрениях не устанавливается.</w:t>
      </w:r>
    </w:p>
    <w:bookmarkEnd w:id="127"/>
    <w:bookmarkStart w:name="z20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химической безопасности:</w:t>
      </w:r>
    </w:p>
    <w:bookmarkEnd w:id="128"/>
    <w:bookmarkStart w:name="z20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массовая доля биурета в карбамиде – не более 1,4 %;</w:t>
      </w:r>
    </w:p>
    <w:bookmarkEnd w:id="129"/>
    <w:bookmarkStart w:name="z20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рН водного раствора с массовой долей аммиачной селитры 10 % – не менее 5,0;</w:t>
      </w:r>
    </w:p>
    <w:bookmarkEnd w:id="130"/>
    <w:bookmarkStart w:name="z20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гранулометрический состав аммиачной селитры (массовая доля фракций):</w:t>
      </w:r>
    </w:p>
    <w:bookmarkEnd w:id="131"/>
    <w:bookmarkStart w:name="z20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 мм – не более 5 %;</w:t>
      </w:r>
    </w:p>
    <w:bookmarkEnd w:id="132"/>
    <w:bookmarkStart w:name="z20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0,5 мм – не более 3 %;</w:t>
      </w:r>
    </w:p>
    <w:bookmarkEnd w:id="133"/>
    <w:bookmarkStart w:name="z20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пористость (способность удерживать масло) аммиачной селитры при температуре 25 – 50° С – не более 4 %*;</w:t>
      </w:r>
    </w:p>
    <w:bookmarkEnd w:id="134"/>
    <w:bookmarkStart w:name="z20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содержание горючих веществ в аммиачной селитре:</w:t>
      </w:r>
    </w:p>
    <w:bookmarkEnd w:id="135"/>
    <w:bookmarkStart w:name="z20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минеральных удобрений, содержащих не менее 31,5 % азота по массе, – не более 0,2 %*;</w:t>
      </w:r>
    </w:p>
    <w:bookmarkEnd w:id="136"/>
    <w:bookmarkStart w:name="z20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минеральных удобрений, содержащих азот от 28 до 31,5 % по массе, – не более 0,4 %*;</w:t>
      </w:r>
    </w:p>
    <w:bookmarkEnd w:id="137"/>
    <w:bookmarkStart w:name="z20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массовая доля хлора в аммиачной селитре – не более 0,02 %*;</w:t>
      </w:r>
    </w:p>
    <w:bookmarkEnd w:id="138"/>
    <w:bookmarkStart w:name="z20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содержание меди в аммиачной селитре – не более 10 мг/кг*.</w:t>
      </w:r>
    </w:p>
    <w:bookmarkEnd w:id="139"/>
    <w:bookmarkStart w:name="z20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140"/>
    <w:bookmarkStart w:name="z20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Требование вступает в силу по истечении 6 месяцев со дня вступления в силу решения Евразийской экономической комиссии о включении межгосударственных стандартов, содержащих правила и методы исследований (испытаний) и измерений по маслопоглощению и пористости аммиачной селитры, по содержанию горючих веществ, по массовой доле хлора и содержанию меди в аммиачной селитре соответственно,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минеральным удобрениям" (ТР ЕАЭС 39/2016) и осуществления оценки соответствия объектов технического регулирования. 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"О требованиях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минеральным удобрениям"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ЕАЭС 39/2016)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205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МИНЕРАЛЬНОГО УДОБРЕНИЯ</w:t>
      </w:r>
    </w:p>
    <w:bookmarkEnd w:id="142"/>
    <w:bookmarkStart w:name="z20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от "__" ___________ 20__ г.</w:t>
      </w:r>
    </w:p>
    <w:bookmarkEnd w:id="143"/>
    <w:p>
      <w:pPr>
        <w:spacing w:after="0"/>
        <w:ind w:left="0"/>
        <w:jc w:val="both"/>
      </w:pPr>
      <w:bookmarkStart w:name="z2057" w:id="144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____________________________________________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(сведения о государственной регистрации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или Ф.И.О. физического лица, зарегистрированного в качестве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предпринимателя, место нахождения, в том числе фактический адрес, – для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или место жительства – для физического лица, зарегистрированного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предпринимателя, – указать нужное, телефон, факс, адрес электронной почты)</w:t>
      </w:r>
    </w:p>
    <w:p>
      <w:pPr>
        <w:spacing w:after="0"/>
        <w:ind w:left="0"/>
        <w:jc w:val="both"/>
      </w:pPr>
      <w:bookmarkStart w:name="z2058" w:id="145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техническим регламентом Евразийского экономического союза "О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требованиях к минеральным удобрениям" (ТР ЕАЭС 39/2016) минеральное удобрение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минерального удобрения)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изготовленное___________________________________________________________________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 или Ф.И.О. физического лица, зарегистрированного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индивидуального предпринимателя, место нахождения, в том числе фактический адрес, –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____________юридического лица или место жительства – для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______________________________________________________________________________________индивидуального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предпринимателя, – указать нужное, телефон, адрес электронной почты)</w:t>
      </w:r>
    </w:p>
    <w:p>
      <w:pPr>
        <w:spacing w:after="0"/>
        <w:ind w:left="0"/>
        <w:jc w:val="both"/>
      </w:pPr>
      <w:bookmarkStart w:name="z2059" w:id="146"/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за № _____ в ___________________________________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(наименование государства – члена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допускается к обращению на рынке государств – членов Евразийского экономического союза.</w:t>
      </w:r>
    </w:p>
    <w:p>
      <w:pPr>
        <w:spacing w:after="0"/>
        <w:ind w:left="0"/>
        <w:jc w:val="both"/>
      </w:pPr>
      <w:bookmarkStart w:name="z2060" w:id="1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 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 уполномоченного органа (подпись)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государства – члена Евразийского экономического союза)</w:t>
      </w:r>
    </w:p>
    <w:bookmarkStart w:name="z20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48"/>
    <w:bookmarkStart w:name="z20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Свидетельство о регистрации минерального удобрения составляется на русском языке и государственном (государственных) языке (языках) государства – члена Евразийского экономического союза, на территории которого реализуются минеральные удобрения, при наличии соответствующих требований в законодательстве такого государства.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