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7bf0" w14:textId="a767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Евразийского инжинирингового центра по станкостроению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13 апреля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15.04.2016 -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года, с целью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 г. № 9 «Об основных направлениях промышленного сотрудничества в рамках Евразийского экономического союза» Евразийский межправительственный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Евразийского инжинирингового центра по станкостроению (далее - Концепция).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- членов Евразийского экономического союза обеспечить реализацию прилагаемой Концепции исходя из своих национальных приоритетов.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межправительственного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2016 г.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</w:t>
      </w:r>
      <w:r>
        <w:br/>
      </w:r>
      <w:r>
        <w:rPr>
          <w:rFonts w:ascii="Times New Roman"/>
          <w:b/>
          <w:i w:val="false"/>
          <w:color w:val="000000"/>
        </w:rPr>
        <w:t>
создания Евразийского инжинирингового центра по станкостроению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Концепция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6 февраля 2015 г. № 5 «О разработке концепции создания Евразийского инжинирингового центра по станкостроению».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основой создания Евразийского инжинирингового центра по станкостроению (далее - Инжиниринговый центр)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 г. № 9 «Об основных направлениях промышленного сотрудничества в рамках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подпункты 2 и 4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Концепции понятие «инжиниринговые услуги» используется в значении, определенном в приложении № 18 к Договору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Инжиниринговый центр открыт для присоединения к нему государств - членов Евразийского экономического союза.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Обоснование целесообразности создания</w:t>
      </w:r>
      <w:r>
        <w:br/>
      </w:r>
      <w:r>
        <w:rPr>
          <w:rFonts w:ascii="Times New Roman"/>
          <w:b/>
          <w:i w:val="false"/>
          <w:color w:val="000000"/>
        </w:rPr>
        <w:t>
Инжинирингового центра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Инжинирингового центра направлена на формирование инновационных решений в производственных процессах в целях обеспечения содействия переходу к новому технологическому укладу промышленности государств - членов Евразийского экономического союза (далее соответственно - государства-члены, Союз), а также сервис-ориентированной модели промышленного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создания Инжинирингового центра обусловлена потребностью обеспечения устойчивого социально-экономического развития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Высокий уровень развития средств производства обеспечивает технологический уровень развития, инновационноемкость и конкурентоспособность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развития конструкторско-технологического потенциала государств-членов обусловлена значительной степенью износа оборудования в отрасли машиностроения, который в среднем по Союзу достигает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на модернизацию промышленности привлекаются существенные объемы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2015 - 2020 годах программными документами государств-членов на развитие машиностроительного производства предусматривается выделение из государственных бюджетов около 32 млрд. долларов США, из которых на закупку средств производства для машиностроения планируется направлять ежегодно более 2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в настоящее время потребность промышленных предприятий государств-членов в оборудовании удовлетворяется преимущественно за счет импорта. Так, продукция иностранных производителей составляет 90 процентов закупаемого станочного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 товаров и технологий двойного назначения из развитых стран ограничен Вассенаарскими договоренностями, которые сдерживают поставку более 30 позиций станочного оборудования, обладающего наиболее современными по точности, производительности и новизне технологий характеристиками. Запрет на экспорт также регламентируется национальными документами в рамках экспортного контроля и Регламентом Совета (ЕС) от 19 апреля 2012 г. № 388/2012. Ограничение распространяется на «сложные» станки следующих групп: токарные и фрезерные станки с точностью выше 6 микрометров, шлифовальные станки с точностью выше 3 микрометров, синхронные пятикоординатные станки, а также на программное обеспечение к указанным категориям станков.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промышленно развитых странах обновление средств производства происходит каждые 7 - 10 лет, что обеспечивает своевременный переход промышленности на очередной новый технологический уклад.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инициативы мировых лидеров, таких как Германия и Китай направлены на усиление конкурентных преимуществ экономик этих двух государств путем трансформации их промышленных комплексов в будущий технологический уклад - «цифровую промышленность» путем развития инжиниринга и взаимного трансфера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уже достигнуто соглашение между Германией и Китаем о базовых принципах сопряжения национальных промышленных стратегий «Industry 4.0» (Германия) и «Made in China 2025» (Китай). Данное соглашение предполагает совместные действия стран по повышению эффективности защиты каналов передачи данных и защите прав на интеллектуальную собственность, а также совместную работу государственных органов Германии и Китая по созданию единых стандартов будущего технологического уклада. В рамках вышеуказанных национальных программ предусмотрена поддержка развития и освоения критических технологий, в качестве которых определены программное обеспечение, облачные базы данных, робототехника, радиочастотная идентификация, сенсоры.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2014 года объем мирового рынка инжиниринговых услуг составил 783 млрд. долларов США (75 процентов - доля строительного инжиниринга, 25 процентов - консультационный, технологический и иные виды инжиниринга).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Совокупная доля государств-членов в мировом рынке технологического инжиниринга составляет 1 процент. При этом рынок инжиниринговых услуг Союза в целом, включая строительный инжиниринг, составляет примерно 5 процентов. В настоящее время потребности государств-членов в комплексном инжиниринге удовлетворяются преимущественно иностранными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инвестирование в разработки в отрасли станкостроения в течение последних лет обусловило критическое отставание в развитии отрасли станкостроения и смежных отраслей в государствах-членах. Разработки, полученные в результате реализации государственных программ, могут внедряться частными компаниями только при получении соответствующего разрешения государства-члена, поскольку их правообладателем является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государственных программ государств-членов показал, что выделение средств на научно-исследовательские и опытно-конструкторские разработки в сфере станкостроения осуществляется государствами-членами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с 2013 по 2015 годы выделено 14 млрд. белорусских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с 2014 по 2016 годы предусмотрено бюджетное финансирование около 0,7 млрд. российских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не предусмотрено выделение средств на развитие отрасли станкостроения. Программой мероприятий в секторе точного машиностроения на 2012 - 2015 годы по реализации стратегии промышленной политики Республики Армения предусмотрено 6 стратегических направлений, включая содействие инновациям и развитие возможностей. Содействие инновациям включает в себя мероприятия по усовершенствованию системы защиты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Государственной программой индустриально-инновационного развития Республики Казахстан на 2015 - 2019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г. № 874, не предусмотрено выделение средств на развитие отрасли станкостроения, в то же время отдается приоритет развитию сервисных и инжиниринговых услуг на базе малого и среднего бизнеса в приоритетных секторах (агрохимия, автомобилестроение, электрооборудование, сельскохозяйственное машиностроение, железнодорожное машиностроение, производство машин и оборудования для горнодобывающей промышленности, нефтегазовое машиностроение). В том числе планируется создание следующих кластеров в рамках научного парка кластера «Назарбаев Университет»: геологический кластер, кластер информационно-коммуникационных технологий, кластер инжиниринга (возобновляемая энергетика, космические технологии), биомедицинский кластер.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пространстве Союза отсутствуют действующие программы развития промышленной робототехники (российские программы «AutoNet» и «AeroNet» направлены на сегмент сервисных роботов). В тоже время согласно программным документам государств-членов робототехника является приоритетным направлением развития промышленности для Республики Армения,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полномасштабного научного и производственного потенциала требует значительных финансовых и интеллектуальных усилий и является актуальным для всех государств-членов. При этом возникает необходимость концентрации имеющихся ресурсов государств-членов и их максимально эффективного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Инжиниринговый центр призван объединить инновационный потенциал государств-членов для обеспечения отрасли машиностроения средствами производства, оптимизации доступа промышленных предприятий государств-членов к имеющимся в государствах-членах технологиям, а также для использования возможностей государств-членов для обеспечения доступа к наиболее современным мировым технологиям и разработкам.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Цели и задачи Инжинирингового центра,</w:t>
      </w:r>
      <w:r>
        <w:br/>
      </w:r>
      <w:r>
        <w:rPr>
          <w:rFonts w:ascii="Times New Roman"/>
          <w:b/>
          <w:i w:val="false"/>
          <w:color w:val="000000"/>
        </w:rPr>
        <w:t>
а также механизмы их реализации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Инжиниринговый центр оказывает инжиниринговые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создают Инжиниринговый центр и его элементы (центры компетенций) исходя из своих национальных приоритетов.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деятельности Инжинирингового центра должен максимально использоваться научный и производственный потенциал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деятельности Инжинирингового центра являются разработка инновационных технологических решений и содействие их внедрению в производственные процессы машиностроительных комплексов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деятельности Инжинирингового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долгосрочное прогнозирование и выработка предложений по направлениям развития отрасли станкостроения и смежных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внедрению современных и инновационных технологий мирового уровня в производственные процессы машиностроительных предприятий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эффективному использованию производственных мощностей государств-членов и технологическому оснащению новых машиностроительных предприятий для взаимовыгодного развития машиностроительных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кооперационных проектов по модернизации машиностроительных предприятий государств-членов и содействие трансферу современных и инновационных технологий из третьих стран и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подходов по определению качества совместно произведенных предприятиями государств-членов средств производства для отрасли машиностроения;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экспортного потенциала высокотехнологичной совместно произведенной продукции (создание конкурентоспособных средств производства на территориях государств-членов);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кадрового потенциала в отрасли станкостроения и смежных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сервис-ориентированной модели жизненного цикла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указанных задач Инжиниринговый центр использует следующие механизмы: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аналитические исследования мировых тенденций, изменений внешней и внутренней рыночной конъюнктуры по конкретным товарам, отраслям, видам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обновляемого перечня перспективных технологических решений, востребованных в приоритетных отраслях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между государствами-членами, разработка перспективных средств производства для машиностроения (включая научно-исследовательские и опытно-конструкторские разработки);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единого электронного банка данных освоенных (планируемых к разработке)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взаимодействия и обмен опытом с заинтересованными производителями и объектами инновационной инфраструктуры, в том числе с мировыми технологическими лидерами, включая транснациональные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проектов по модернизации машиностроительных предприятий (технологический и энергетический аудит);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заключений Инжинирингового центра, включающих в себя предложения по оптимизации и повышению эффективности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увеличению доли машиностроительной продукции государств-членов на общем рынке Союза и поэтапному повышению локализации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рациональных кооперационных цепочек производства высокотехнологичной продукции с учетом потенциала машиностроительных предприятий при взаимодействии с объектами инновационной инфраструктуры и институтами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системы субконтрактации промышленной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стандарта менеджмента качества для организаций, производящих компонентную базу, используемую в отрасли станкостроения и смежных отраслях, с учетом внедрения корпоративных стандартов проектного управления и управления рисками реализации научно-исследовательских и опытноҒконструкторских разработок;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инструментов и механизмов институтов развития для продвижения на экспорт совместно произведенной продукции, в том числе инструментов финансирования лизинговых операций, страхования и снижения валютных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выставочно-ярмарочной и экспозиционной деятельности, маркетинговых и имиджевых мероприятиях в третьих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эффективному сотрудничеству предприятий отрасли станкостроения и смежных отраслей и технических образовательных учреждений, осуществляющих подготовку кадров для машиностроения, в том числе формирование профессиональных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движения «WorldSkills»;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компонентной базы для разрабатываемых средств производства и ее адаптация к выпускаемому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механизмов локализации производства компонентной базы для средств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дистанционное оказание сервисных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сервисного обслуживания средств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единой программной среды и унифицированного программного обеспечения для систем числового программного управления в сфере станкостроения.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наиболее эффективной деятельности Инжинирингового центра по решению государств-членов могут корректироваться задачи и механизмы их реализации, применяться механизмы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Инжиниринговым центром осуществляется подготовка предложений по формированию перечня продукции, производимой на территориях государств-членов, ведение которого осуществляется Комиссией с использованием интегрированной информационной системы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продукции, включенной в указанный перечень, Инжиниринговым центром по запросу Комиссии или государств-членов осуществляется подготовка: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заключений о наличии на территории Союза производства аналогов ввозимой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заключений о целесообразности изменения ставок ввозных таможенных пошлин Единого таможенного тарифа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по учету государствами-членами возможностей производителей других государств-членов при реализации национальных программ модернизации производства.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Ожидаемые результаты деятельности Инжинирингового центра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деятельности Инжинирингового центра планируется достижение следующих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равных условий доступа предприятий государств-членов к разработанным Инжиниринговым центром технологиям и инновационной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высокотехнологичной продукции в общем объеме производства станочной продукции, в том числе комплектующих (числового программного управления, программного обеспечения, приводов), до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объема инвестиций в отрасль станкостроения и смежных отраслей и повышение затрат на технологические инновации (уровень затрат на инновации в Союзе в настоящее время в среднем составляет 1,35 процента ВВП);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кадрового потенциала в отрасли станкостроения и смежных отраслях, прежде всего в сфере проектирования средств производства, обеспечение привлекательности работы в отрасли станкостроения для молодых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загрузки имеющихся и создаваемых мощностей станкостроительных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создание Инжинирингового центра направлено на решение ключевых проблем управления технологическими процессами развития промышленных производств, определяющих темпы технического прогресса высокотехнологичных отраслей промышленности, уровень конкурентоспособности машиностроительной продукции государств-членов и степень независимости и устойчивости развития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Инжинирингового центра обеспечит развитие технологических возможностей отраслей промышленности государств-членов на длительную перспективу и создание технической основы для повышения качества машиностроительной продукции, экономического роста и конкурентоспособности на мировых рынках высокотехнологичной машиностроительной продукции. Деятельность Инжинирингового центра будет способствовать интеграции промышленных комплексов государств-членов.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Организационно-правовая форма Инжинирингового центра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Организационно-правовая форма, местонахождение, структура и штатная численность Инжинирингового центра определяются учредительными документами. Государства-члены самостоятельно определяют учредителей Инжинирингового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государство-член определяет организацию (производственную или научную организацию), наделяемую функциями национального координатора (далее - национальный координатор), отвечающего за развитие инновационной деятельности в государстве-члене, принимающем участие в работе Инжинирингового центра. Состав национальных координаторов закреплен в учредительных документах Инжинирингового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орган, определенный в соответствии с учредительными документами Инжинирингового центра, формирует стратегию деятельности Инжинирингового центра, определяет основные направления научно-технического сотрудничества и совместных разработок, обеспечивает мониторинг национальных и совместных программ научно-исследовательских и опытно-конструкторских разработок в сфере станкостроения и смежных отраслей, а также выдачу заключений о наличии производства аналогов ввозимого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Инжиниринговый центр взаимодействует с Евразийской экономической комиссией в рамках Консультативного комитета по промышленности, созданного при Евразийской экономической комиссии.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Научно-техническое сотрудничество в рамках</w:t>
      </w:r>
      <w:r>
        <w:br/>
      </w:r>
      <w:r>
        <w:rPr>
          <w:rFonts w:ascii="Times New Roman"/>
          <w:b/>
          <w:i w:val="false"/>
          <w:color w:val="000000"/>
        </w:rPr>
        <w:t>
Инжинирингового центра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Инжиниринговый центр прогнозирует потребности машиностроения и перспективные ниши для развития средств производства и предметов труда, формирует обновляемый перечень перспективных технологических решений, востребованных в приоритетных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кооперации в научно-технической сфере формируются Евразийские технологические платформы. Совместная работа Инжинирингового центра как интегратора технологического развития в сфере станкостроения и технологических платформ как операторов научного сотрудничества должно позволить создаваемым структурам более эффективно соответствовать существующим технологическим вызовам и в конечном итоге обеспечить промышленный комплекс Союза современными средствами производства.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Концепции создания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инжинирингового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станкостроению          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Задачи, механизмы их реализации и результаты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Евразийского инжинирингового центра по станкостроению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633"/>
        <w:gridCol w:w="4674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реализации задачи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Долгосрочное прогнозирование и выработка предложений по направлениям развития отрасли станкостроения и смежных отраслей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исследования мировых тенденций, изменений внешней и внутренней рыночной конъюнктуры по конкретным товарам, отраслям, видам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обновляемого перечня перспективных технологических решений, востребованных в приоритетных отраслях экономики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развития отрасли станкостроения и смежных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Евразийского инжинирингового центра (далее - Инжиниринговый центр) по развитию отрасли станкостроения и смежных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перспективных научно- исследовательских и опытно-конструкторских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перспективных технологических решений, востребованных в приоритетных отраслях экономики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Содействие внедрению современных и инновационных технологий мирового уровня в производственные процессы машиностроительных предприятий государств-членов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обмену информацией между государствами - членами Евразийского экономического союза (далее - государства-члены), разработка перспективных средств производства для машиностроения (включая научно-исследовательские и опытно-конструкторские разработки)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единого электронного банка данных освоенных (планируемых к разработке)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взаимодействия и обмен опытом с заинтересованными производителями и объектами инновационной инфраструктуры, в том числе с мировыми технологическими лидерами, включая транснациональные корпорации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заключений Инжинирингового центра об отсутствии дублирования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совместных научно- исследовательских и опытно-конструкторских разработок и объем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заключенных контрактов на модернизацию предприятий, в том числе при софинансировании институтов развития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Выработка предложений по эффективному использованию производственных мощностей государств-членов и технологическому оснащению новых машиностроительных предприятий для взаимовыгодного развития машиностроительных комплексов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проектов по модернизации машиностроительных предприятий (технологический и энергетический аудит)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заключений Инжинирингового центра, включающих в себя предложения по оптимизации и повышению эффективности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увеличению доли машиностроительной продукции государств-членов на общем рынке Союза и поэтапному повышению локализации производства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оптимизированных расходов по итогам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заключений Инжинирингового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заключений о наличии на территориях государств-членов производства продукции в соответствии с перечнем продукции, производимой на территориях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Инжинирингового центра для включения в план мероприятий по поддержке промышленных производств государств-членов (в том числе за счет использования таких инструментов, как государственные и корпоративные закупки, размещение долгосрочных контрактов, развитие перспективных форм взаимовыгодной промышленной кооперации и субконтрактации, различных инструментов финансовой поддержки, развития индустриальной инновационной инфраструктуры)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заключений о целесообразности изменения ставок ввозных таможенных пошлин Единого таможенного тарифа Евразийского экономического союза, подготовленных по запросу Евразийской экономической комиссии или государств-членов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совместных кооперационных проектов по модернизации машиностроительных предприятий государств-членов и содействие трансферту современных и инновационных технологий из третьих стран и на территориях государств- членов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рациональных кооперационных цепочек производства высокотехнологичной продукции с учетом потенциала машиностроительных предприятий при взаимодействии с объектами инновационной инфраструктуры и институтами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системы субконтрактации промышленной продукции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реализованных совместных проектов по модернизации машиностроительных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затрат на модернизацию машиностроительных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 машиностроительных предприятий, использующих систему субконтрактации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объемов заключаемых контрактов в рамках системы субконтрактации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Совершенствование подходов по определению качества совместно произведенных предприятиями государств-членов средств производства для отрасли машиностроения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стандарта менеджмента качества для организаций, производящих компонентную базу, используемую в отрасли станкостроения и смежных отраслях, с учетом внедрения корпоративных стандартов проектного управления и управления рисками реализации научно-исследовательских и опытно-конструкторских разработок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добровольной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сертифицированных машиностроительных производств (выданных сертификатов)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обращений предприятий для выдачи сертификатов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 экспортного потенциала высокотехнологичной совместно произведенной продукции (создание конкурентоспособных средств производства на территориях государств-членов)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инструментов и механизмов институтов развития для продвижения на экспорт совместно произведенной продукции, в том числе инструментов финансирования лизинговых операций, страхования и снижения валютных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выставочно-ярмарочной и экспозиционной деятельности, маркетинговых и имиджевых мероприятиях в третьих странах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одобренных институтами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выставок, ярмарок и иных мероприятий в третьих странах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Содействие развитию кадрового потенциала в отрасли станкостроения и смежных отраслях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эффективному сотрудничеству предприятий отрасли станкостроения и смежных отраслей и технических образовательных учреждений, осуществляющих подготовку кадров для машиностроения, в том числе формирование профессиональных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движения «WorldSkills»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заключенных соглашении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персонала, прошедшего подготовку и переподготовку в образовательных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производительности труда в отрасли станкостроения и смежных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производительности труда на модернизированных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унифицированных профессиональных стандартов, в том числе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движения «Worldskills»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Формирование сервис-ориентированной модели жизненного цикла продукции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компонентной базы для разрабатываемых средств производства и ее адаптация к выпускаемому 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механизмов локализации производства компонентной базы для средств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оказание сервисных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сервисного обслуживания средств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программной среды и унифицированного программного обеспечения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унифицированных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дистанционно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сервисных центров (развитость сети обслуживания)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унифицированного программного обеспечения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