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e735" w14:textId="c57e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июля 2016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августа 2016 г. № 63 «О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 в отношении отдельных видов авиационных двигателей, а также в некоторые решения Высшего Евразийского экономического совета и Совета Евразийской экономической комиссии»: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изменения в части дополнения дополнительных примечаний Евразийского экономического союза к группе 84 примечанием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подсубпозиции 8407 10 000 3 термин "взлетная мощность" ("take-off power") означает максимальную мощность, развиваемую авиационным поршневым двигателем.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"Взлетная мощность" ("take-off power") указывается в технической документации и (или) сопроводительных документах, измеряется в киловаттах или лошадиных силах (1 кВт соответствует 1,35962 л.с.).».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