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3dc7" w14:textId="ab53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скоординированной политике в области развития биржевой торговли сельскохозяйственными товарами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ноября 2016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пунктом 6 плана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94,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механизмов биржевой торговли сельскохозяйственными товарами и решения задач по реализации скоординированной политики в области развития товарных бирж государств – членов Евразийского экономического союза (далее соответственно – государства-члены,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специфику биржевых торгов товарами, специализацию товарных бирж государств-членов и необходимость проработки вопросов регулирования процесса создания единого торгового биржевого пространства в рамках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равного доступа юридических лиц и индивидуальных предпринимателей (включая фермерские хозяйства) государств-членов к торговле на товарных биржах любого из государств-членов и совершенствования нормативных правовых актов государств-членов в целях создания условий для организации и развития товарной биржевой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 определить приоритеты развития биржевой торговли сельскохозяйственными товарами в рамках Союза и направить в Евразийскую экономическую комиссию предложения по формированию механизма взаимодействия и принципов сотрудничества государств-членов в области развития биржевой торговли сельскохозяйственными товарами в рамках Союза, подготовленные с участием товарных бирж и лиц, осуществляющих деятельность в сфере биржевой торговли.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