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1321" w14:textId="0ee1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типовом положении о заказчике национального сегмента государства - члена Евразийского экономического союза интегрированной информационной системы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19 декабря 2016 года № 33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целях реализации пункта 27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рекомендует </w:t>
      </w:r>
      <w:r>
        <w:rPr>
          <w:rFonts w:ascii="Times New Roman"/>
          <w:b w:val="false"/>
          <w:i w:val="false"/>
          <w:color w:val="000000"/>
          <w:sz w:val="28"/>
        </w:rPr>
        <w:t>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в информационно-телекоммуникационной сети «Интернет» при подготовке положения о заказчике национального сегмента государства – члена Евразийского экономического союза интегрированной информационной системы Евразийского экономического союза руководствоваться типовым положением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Рекомендации Коллегии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2016 г. № 33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ПОЛОЖЕНИЕ</w:t>
      </w:r>
      <w:r>
        <w:br/>
      </w:r>
      <w:r>
        <w:rPr>
          <w:rFonts w:ascii="Times New Roman"/>
          <w:b/>
          <w:i w:val="false"/>
          <w:color w:val="000000"/>
        </w:rPr>
        <w:t>
о заказчике национального сегмента государства – члена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 интегрированной</w:t>
      </w:r>
      <w:r>
        <w:br/>
      </w:r>
      <w:r>
        <w:rPr>
          <w:rFonts w:ascii="Times New Roman"/>
          <w:b/>
          <w:i w:val="false"/>
          <w:color w:val="000000"/>
        </w:rPr>
        <w:t>
информационной системы Евразийского экономического союза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Заказчик национального сегмента </w:t>
      </w:r>
      <w:r>
        <w:rPr>
          <w:rFonts w:ascii="Times New Roman"/>
          <w:b w:val="false"/>
          <w:i/>
          <w:color w:val="000000"/>
          <w:sz w:val="28"/>
        </w:rPr>
        <w:t>[наименование государства – члена Евразийского экономического союза (далее – государство-член)]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интегрированной информационной системы Евразийского экономического союза (далее соответственно – национальный сегмент, интегрированная система) определяется </w:t>
      </w:r>
      <w:r>
        <w:rPr>
          <w:rFonts w:ascii="Times New Roman"/>
          <w:b w:val="false"/>
          <w:i/>
          <w:color w:val="000000"/>
          <w:sz w:val="28"/>
        </w:rPr>
        <w:t>[наименование вида акта государства-члена]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 (далее – Договор о Союзе)).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Заказчик национального сегмента осуществляет права и исполняет обязанности по созданию, обеспечению функционирования и развитию национального сегмента.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Заказчик национального сегмента в своей деятельности руководствуется Договором о Союзе, другими международными договорами и актами, составляющими право Евразийского экономического союза (далее – Союз), законодательством </w:t>
      </w:r>
      <w:r>
        <w:rPr>
          <w:rFonts w:ascii="Times New Roman"/>
          <w:b w:val="false"/>
          <w:i/>
          <w:color w:val="000000"/>
          <w:sz w:val="28"/>
        </w:rPr>
        <w:t>[наименование государства-члена]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Понятия, используемые в настоящем Положении, применяются в значениях, определенных Договором о Союзе, включая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Союзе), и актами органов Союза, регулирующими вопросы создания и развития интегрированной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Заказчик национального сегмента осуществляет свою деятельность во взаимодействии с уполномоченными органами </w:t>
      </w:r>
      <w:r>
        <w:rPr>
          <w:rFonts w:ascii="Times New Roman"/>
          <w:b w:val="false"/>
          <w:i/>
          <w:color w:val="000000"/>
          <w:sz w:val="28"/>
        </w:rPr>
        <w:t>[наименование государства-члена]</w:t>
      </w:r>
      <w:r>
        <w:rPr>
          <w:rFonts w:ascii="Times New Roman"/>
          <w:b w:val="false"/>
          <w:i w:val="false"/>
          <w:color w:val="000000"/>
          <w:sz w:val="28"/>
        </w:rPr>
        <w:t>, а также в пределах своей компетенции – с Евразийской экономической комиссией (далее – Комиссия), координирующей создание, обеспечение функционирования и развитие интегрированной системы, и с заказчиками национальных сегментов других государств – членов Союза.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Задачи заказчика национального сегмента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Основными задачами заказчика национального сегмента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создание, обеспечение функционирования и развитие национального сегмента, обеспечение защиты информации, обрабатываемой в национальном сегменте, в соответствии с техническим заданием на создание интегрированной системы, планами создания, обеспечения функционирования и развития интегрированной системы, утверждаемыми Комиссией, а также с учетом стратегии развития интегрированной системы, утверждаемой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развитие трансграничного пространства доверия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Стратегией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трансграничного пространства доверия, утвержденной Решением Коллегии Евразийской экономической комиссии от 27 сентября 2016 г. № 105, и 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при межгосударственном информационном взаимодействии сервисов и имеющих юридическую силу электронных документов, утвержденной Решением Совета Евразийской экономической комиссии от 18 сентября 2014 г. № 73;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координация работ по реализации в национальном сегменте общих процессов в соответствии с перечнем общих процессов в рамках Союза, утверждаемым Комиссией.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Функции заказчика национального сегмента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реализации возложенных на него задач заказчик национального сегмента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разрабатывает на основании планов создания, обеспечения функционирования и развития интегрированной системы и согласовывает с Комиссией планы создания, обеспечения функционирования и развития национального сегмента, а также координирует их реализацию;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разрабатывает на основании технического задания на создание интегрированной системы частное техническое задание на создание национального сегмента;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принимает нормативные правовые акты: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регламентирующие информационное взаимодействие в национальном сегменте (с учетом требований к организации межгосударственного информационного взаимодействия, определяемых Комиссией);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необходимые для выполнения в национальном сегменте требований технологических документов, регламентирующих информационное взаимодействие при реализации общих процессов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рамках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участвует в согласовании предложений уполномоченных органов </w:t>
      </w:r>
      <w:r>
        <w:rPr>
          <w:rFonts w:ascii="Times New Roman"/>
          <w:b w:val="false"/>
          <w:i/>
          <w:color w:val="000000"/>
          <w:sz w:val="28"/>
        </w:rPr>
        <w:t>[наименование государства-члена]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перечень общих процессов в рамках Союза, утверждаемый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координирует рассмотрение в </w:t>
      </w:r>
      <w:r>
        <w:rPr>
          <w:rFonts w:ascii="Times New Roman"/>
          <w:b w:val="false"/>
          <w:i/>
          <w:color w:val="000000"/>
          <w:sz w:val="28"/>
        </w:rPr>
        <w:t>[наименование государства-члена]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проектов актов, разрабатываемых Комиссией на этапах определения требований к реализации общего процесса в рамках Союза и технологического проектирования общего процесса в рамках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организует подключение информационных систем уполномоченных органов</w:t>
      </w:r>
      <w:r>
        <w:rPr>
          <w:rFonts w:ascii="Times New Roman"/>
          <w:b w:val="false"/>
          <w:i/>
          <w:color w:val="000000"/>
          <w:sz w:val="28"/>
        </w:rPr>
        <w:t xml:space="preserve"> [наименование государства-члена</w:t>
      </w:r>
      <w:r>
        <w:rPr>
          <w:rFonts w:ascii="Times New Roman"/>
          <w:b w:val="false"/>
          <w:i w:val="false"/>
          <w:color w:val="000000"/>
          <w:sz w:val="28"/>
        </w:rPr>
        <w:t>], участвующих в реализации общих процессов в рамках Союза, к национальному сегменту;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обеспечивает подключение национального сегмента к интеграционной платформе интегрированной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обеспечивает защиту информации, обрабатываемой в национальном сегменте;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организует тестирование в национальном сегменте информационного взаимодействия при реализации общих процессов в рамках Союза и участвует в организации межгосударственного тестирования информационного взаимодействия при реализации общих процессов в рамках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представляет в Комиссию отчеты о ходе работ по созданию, обеспечению функционирования и развитию национального сегмента и по реализации в национальном сегменте общих процессов в рамках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Заказчик национального сегмента координирует деятельность: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оператора интеграционного шлюза национального сегмента;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оператора сервисов доверенной третьей стороны</w:t>
      </w:r>
      <w:r>
        <w:rPr>
          <w:rFonts w:ascii="Times New Roman"/>
          <w:b w:val="false"/>
          <w:i/>
          <w:color w:val="000000"/>
          <w:sz w:val="28"/>
        </w:rPr>
        <w:t xml:space="preserve"> [наименование государства-члена]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оператора государственного компонента </w:t>
      </w:r>
      <w:r>
        <w:rPr>
          <w:rFonts w:ascii="Times New Roman"/>
          <w:b w:val="false"/>
          <w:i/>
          <w:color w:val="000000"/>
          <w:sz w:val="28"/>
        </w:rPr>
        <w:t>[наименование государства-члена]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общей инфраструктуры документирования информации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Операторы, указанные в пункте 8 настоящего Положения, и требования к ним определяются </w:t>
      </w:r>
      <w:r>
        <w:rPr>
          <w:rFonts w:ascii="Times New Roman"/>
          <w:b w:val="false"/>
          <w:i/>
          <w:color w:val="000000"/>
          <w:sz w:val="28"/>
        </w:rPr>
        <w:t>[наименование вида акта государства-члена]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Заказчик национального сегмента информирует Комиссию о назначении операторов, указанных в пункте 8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Заказчик национального сегмента организует функционирование службы технической поддержки национального сегмента.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Заказчик национального сегмента представляет в Комиссию актуальную контактную информацию ответственных лиц службы технической поддержки национального сегмента.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Заказчик национального сегмента осуществляет формирование и ведение национального реестра участников общих процессов в рамках Союза. Сведения из указанного национального реестра представляются в Комиссию для формирования общего реестра участников общих процессов в рамках Союза.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Права заказчика национального сегмента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Заказчик национального сегмента в целях осуществления своих функций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запрашивать у уполномоченных органов</w:t>
      </w:r>
      <w:r>
        <w:rPr>
          <w:rFonts w:ascii="Times New Roman"/>
          <w:b w:val="false"/>
          <w:i/>
          <w:color w:val="000000"/>
          <w:sz w:val="28"/>
        </w:rPr>
        <w:t xml:space="preserve"> [наименование государства-члена]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информацию, необходимую для решения вопросов, входящих в компетенцию заказчика национального сегмента;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созывать и проводить совещания, в том числе с участием сотрудников уполномоченных органов</w:t>
      </w:r>
      <w:r>
        <w:rPr>
          <w:rFonts w:ascii="Times New Roman"/>
          <w:b w:val="false"/>
          <w:i/>
          <w:color w:val="000000"/>
          <w:sz w:val="28"/>
        </w:rPr>
        <w:t xml:space="preserve"> [наименование государства-члена]</w:t>
      </w:r>
      <w:r>
        <w:rPr>
          <w:rFonts w:ascii="Times New Roman"/>
          <w:b w:val="false"/>
          <w:i w:val="false"/>
          <w:color w:val="000000"/>
          <w:sz w:val="28"/>
        </w:rPr>
        <w:t>, по вопросам, входящим в компетенцию заказчика национального сегмента;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взаимодействовать в рамках своей компетенции с Комиссией и заказчиками национальных сегментов других государств – членов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создании, обеспечении функционирования и развитии национального сегмента заказчик национального сегмента вправе использовать программное обеспечение интеграционного сегмента Комиссии, передаваемое заказчику национального сегмента Комиссией на безвозмездной основе для его использования в составе национального сегмента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программного обеспечения интеграционного сегмента Евразийской экономической комиссии интегрированной информационной системы Евразийского экономического союза и его использования, утвержденным Решением Коллегии Евразийской экономической комиссии от 26 января 2016 г. № 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Заказчик национального сегмента в целях оптимизации взаимодействия с уполномоченными органами</w:t>
      </w:r>
      <w:r>
        <w:rPr>
          <w:rFonts w:ascii="Times New Roman"/>
          <w:b w:val="false"/>
          <w:i/>
          <w:color w:val="000000"/>
          <w:sz w:val="28"/>
        </w:rPr>
        <w:t xml:space="preserve"> [наименование государства-члена]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реализации в национальном сегменте общих процессов в рамках Союза вправе создать проектный офис. Реализация мероприятий по созданию проектного офиса осуществляется за счет средств, предусмотренных на функционирование заказчика национального сегмента.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71"/>
        <w:gridCol w:w="11429"/>
      </w:tblGrid>
      <w:tr>
        <w:trPr>
          <w:trHeight w:val="30" w:hRule="atLeast"/>
        </w:trPr>
        <w:tc>
          <w:tcPr>
            <w:tcW w:w="2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</w:t>
            </w:r>
          </w:p>
        </w:tc>
        <w:tc>
          <w:tcPr>
            <w:tcW w:w="1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 без шрифтового выделения является постоянной и неизменяемой информацией. Текст, выделенный курсивом, является переменной информацией и замещается соответствующими данными.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