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9937" w14:textId="cec9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2018 год объемов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2017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главой 2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– Соглашение) и приложением № 1 к Соглашению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на 2018 год объемы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 – членов Евразийского экономического союза в соответствии с Соглашением (далее соответственно – рис длиннозерный, тарифная квота),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Установить, что тарифная квота применяется в отношении риса длиннозерного, помещаемого под таможенную процедуру выпуска для внутреннего потребления.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Государствам – членам Евразийского экономического союза: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осуществлять распределение объемов тарифной квоты, установленных пунктом 1 настоящего Решения, между участниками внешнеторговой деятельности в соответствии со своим законодательством;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поручить уполномоченным органам исполнительной власти осуществлять выдачу лицензий на импорт риса длиннозерного.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2017 г. № 96 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 </w:t>
      </w:r>
      <w:r>
        <w:br/>
      </w:r>
      <w:r>
        <w:rPr>
          <w:rFonts w:ascii="Times New Roman"/>
          <w:b/>
          <w:i w:val="false"/>
          <w:color w:val="000000"/>
        </w:rPr>
        <w:t xml:space="preserve">тарифной квоты на 2018 год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 в соответствии с Соглашением о свободной торговле между Евразийским экономическим союзом и его государствами - членами, с одной стороны, и Социалистической Республикой Вьетнам, с другой стороны, от 29 мая 2015 года  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6"/>
        <w:gridCol w:w="3508"/>
        <w:gridCol w:w="941"/>
        <w:gridCol w:w="1511"/>
        <w:gridCol w:w="941"/>
        <w:gridCol w:w="941"/>
        <w:gridCol w:w="1942"/>
      </w:tblGrid>
      <w:tr>
        <w:trPr>
          <w:trHeight w:val="30" w:hRule="atLeast"/>
        </w:trPr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8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тарифной квоты (тонн)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Армения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Беларусь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Кыргызская Республика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обрушенный пропаренный длиннозерный рис с отношением длины к ширине, равным 3 или более  </w:t>
            </w:r>
          </w:p>
          <w:bookmarkEnd w:id="9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1006 30 670 1 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961,0 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9 039,0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обрушенный прочий длиннозерный рис с отношением длины к ширине, равным 3 или более   </w:t>
            </w:r>
          </w:p>
          <w:bookmarkEnd w:id="10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1006 30 980 1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