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37aa" w14:textId="48b3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дробильно-сортировочной установки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августа 2017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соответствии с Основными правилами интерпретации Товарной номенклатуры внешнеэкономической деятельности 1, 3(б) и 6 в подсубпозиции 8474 20 000 3 единой Товарной номенклатуры внешнеэкономической деятельности Евразийского экономического союза классифицируется дробильно-сортировочная установка, предназначенная для двухэтапного дробления и сортировки гранита, кварца, базальта, песчаника, железной руды, состоящая из следующих устройств, размещенных на колесном несамоходном шасс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ковая дробилка, предназначенная для первичного дробления, оснащенная платформой с перилами и лестницей, с электрическим приводом и приемным отверстием длиной не менее 400 мм, но не более 2100 мм и шириной не менее 200 мм, но не более 1500 м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усная дробилка, предназначенная для вторичного и последующего дробления, с электрическим приводо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нкер с вибрационным колосниковым питателем;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овый грохот с электрическим приводом;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кнутый конвейер и конвейер готовой продукции; 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номный электрический распределительный шкаф для распределения электроэнергии на все электрические моторы дробильно-сортировочной установки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хосное колесное шасси с опорами, обеспечивающими устойчивость дробильно-сортировочной установки в рабочем положении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