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4b9a" w14:textId="dd04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сооружениям, помещениям (частям помещений) и (или) открытым площадкам (частям открытых площадок), на территории которых будет осуществляться временное хранение товаров, завершение действия таможенной процедуры таможенного транзита и (или) проводиться таможенный контроль, к транспортным средствам и работникам юридического лица, претендующего на включение в реестр 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03 октября 2017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пункта 3 статьи 433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сооружениям, помещениям (частям помещений) и (или) открытым площадкам (частям открытых площадок), на территории которых будет осуществляться временное хранение товаров, завершение действия таможенной процедуры таможенного транзита и (или) проводиться таможенный контроль, к транспортным средствам и работникам юридического лица, претендующего на включение в реестр уполномоченных экономических операторов.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2017 г. № 131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>к сооружениям, помещениям (частям помещений)</w:t>
      </w:r>
      <w:r>
        <w:br/>
      </w:r>
      <w:r>
        <w:rPr>
          <w:rFonts w:ascii="Times New Roman"/>
          <w:b/>
          <w:i w:val="false"/>
          <w:color w:val="000000"/>
        </w:rPr>
        <w:t>и (или) открытым площадкам (частям открытых площадок),</w:t>
      </w:r>
      <w:r>
        <w:br/>
      </w:r>
      <w:r>
        <w:rPr>
          <w:rFonts w:ascii="Times New Roman"/>
          <w:b/>
          <w:i w:val="false"/>
          <w:color w:val="000000"/>
        </w:rPr>
        <w:t xml:space="preserve">на территории которых будет осуществляться временное хранение товаров, завершение действия таможенной процедуры </w:t>
      </w:r>
      <w:r>
        <w:br/>
      </w:r>
      <w:r>
        <w:rPr>
          <w:rFonts w:ascii="Times New Roman"/>
          <w:b/>
          <w:i w:val="false"/>
          <w:color w:val="000000"/>
        </w:rPr>
        <w:t xml:space="preserve">таможенного транзита и (или) проводиться таможенный контроль, </w:t>
      </w:r>
      <w:r>
        <w:br/>
      </w:r>
      <w:r>
        <w:rPr>
          <w:rFonts w:ascii="Times New Roman"/>
          <w:b/>
          <w:i w:val="false"/>
          <w:color w:val="000000"/>
        </w:rPr>
        <w:t xml:space="preserve">к транспортным средствам и работникам юридического лица, претендующего на включение в реестр уполномоченных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экономических операторов 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Требования к сооружениям, помещениям (частям помещений) </w:t>
      </w:r>
      <w:r>
        <w:br/>
      </w:r>
      <w:r>
        <w:rPr>
          <w:rFonts w:ascii="Times New Roman"/>
          <w:b/>
          <w:i w:val="false"/>
          <w:color w:val="000000"/>
        </w:rPr>
        <w:t xml:space="preserve">и (или) открытым площадкам (частям открытых площадок), </w:t>
      </w:r>
      <w:r>
        <w:br/>
      </w:r>
      <w:r>
        <w:rPr>
          <w:rFonts w:ascii="Times New Roman"/>
          <w:b/>
          <w:i w:val="false"/>
          <w:color w:val="000000"/>
        </w:rPr>
        <w:t xml:space="preserve">на территории которых будет осуществляться временное хранение товаров, завершение действия таможенной процедуры </w:t>
      </w:r>
      <w:r>
        <w:br/>
      </w:r>
      <w:r>
        <w:rPr>
          <w:rFonts w:ascii="Times New Roman"/>
          <w:b/>
          <w:i w:val="false"/>
          <w:color w:val="000000"/>
        </w:rPr>
        <w:t xml:space="preserve">таможенного транзита и (или) проводиться таможенный контроль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Юридическое лицо, претендующее на включение в реестр уполномоченных экономических операторов с выдачей свидетельства о включении в реестр уполномоченных экономических операторов второго или третьего типа (далее – юридическое лицо), должно использовать сооружения, помещения (части помещений) и (или) открытые площадки (части открытых площадок), на территории которых будет осуществляться временное хранение товаров, завершение действия таможенной процедуры таможенного транзита и (или) проводиться таможенный контроль (далее – территория уполномоченного экономического оператора), при условии, что они обеспечивают: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сохранность товаров и транспортных средств, находящихся под таможенным контролем;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недопущение совершения с товарами и транспортными средствами, находящимися под таможенным контролем, разгрузки, перегрузки (перевалки) и иных грузовых операций без разрешения таможенного органа;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возможность проведения в отношении товаров и транспортных средств таможенного контроля.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Юридическое лицо должно обеспечить наличие на территории уполномоченного экономического оператора: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твердого (бетонного, асфальтового или иного) покрытия, включая примыкающие к указанной территории погрузочно-разгрузочные площадки;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стоянки для транспортных средств;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непрерывного ограждения открытых площадок (частей открытых площадок) по всему периметру;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обозначения зон таможенного контроля в порядке, установленном законодательством государств – членов Евразийского экономического союза о таможенном регулировании, в соответствии с пунктом 4 статьи 319 Таможенного кодекса Евразийского экономического союза;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места, выделенного для проведения таможенного осмотра или таможенного досмотра товаров и транспортных средств;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технически исправных подъездных путей к указанной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организованного пропускного режима и охраны, исключающих несанкционированный доступ на объекты, расположенные на указанной территории, в том числе к местам погрузки (разгрузки) и хранения товаров и к транспортным средствам, и обеспечивающих: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указанным объектам работников юридического лица с осуществлением их идентификации;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указанным объектам лиц, не являющихся работниками юридического лица, с осуществлением их идентификации и регистрации;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аннулирование допуска работников, прекративших свою деятельность у юридического лица, к указанным объектам и информационным системам;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систем контроля въезда (выезда) транспортных средств и входа (выхода) лиц, оборудованных средствами видеонаблюдения, функционирующими в круглосуточном режиме, позволяющими осуществлять просмотр, запись и хранение видеоинформации в течение 30 календарных дней;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охранной и пожарной сигнализации, за исключением открытых площадок (частей открытых площадок);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освещения, позволяющего обеспечить видеонаблюдение;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весового оборудования (средств измерений) с пределами взвешивания и показателями точности измерений, соответствующими требованиям законодательства государств – членов Евразийского экономического союза, обеспечивающего возможность взвешивания товаров, предполагаемых для размещения на указанной территории, в частности на палетах, поддонах и в другой многооборотной таре, применяемой для транспортировки товаров;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погрузо-разгрузочной техники и механизмов, необходимых для проведения таможенного контроля товаров;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 помещений (мест), оснащенных оргтехникой и средствами связи, которые предоставляются на время осуществления должностными лицами таможенного органа своих полномочий при совершении ими таможенных операций, проведении таможенного контроля и оформлении таможенных документов (при необходимости указанные помещения (места) могут размещаться в непосредственной близости от указанной территории).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Требования к транспортным средствам юридического лица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Транспортные средства юридического лица, осуществляющего перевозку (являющегося перевозчиком) товаров, должны отвечать требованиям, которые предъявляются к транспортным средствам международной перевозки для перевозки товаров под таможенными пломбами и печатями в соответствии со статьей 364 Таможенного кодекса Евразийского экономического союза.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Требования к работникам юридического лица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Работники юридического лица должны соответствовать следующим требованиям: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работники, в должностные обязанности которых входят организация и (или) совершение таможенных операций, должны иметь профессиональную подготовку в сфере таможенного дела и (или) опыт работы в данной сфере не менее 2 лет.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дополнительно к указанным требованиям работники юридического лица должны соответствовать иным требованиям, установленным законодательством Республики Армения;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работники, ответственные за организацию безопасности юридического лица и охрану территории уполномоченного экономического оператора, должны иметь профессиональную подготовку в сфере обеспечения безопасности и охраны и (или) опыт работы в данной сфере не менее 2 лет;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работники, ответственные за применение автоматизированной информационной системы, содержащей средства защиты информации, должны иметь профессиональную подготовку в сфере информационных технологий и (или) опыт работы в данной сфере не менее 2 лет.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Юридическое лицо может не иметь работников, соответствующих требованиям, установленным в пункте 4 настоящих Требований, если к выполнению необходимых работ на договорной основе привлекаются таможенные представители, работники специализированных охранных организаций и организаций, осуществляющих деятельность в сфере информационных и телекоммуникационных технологий.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