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6aa6" w14:textId="12b6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 об оценке соответствия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упакованной питьевой воды, включая природную минеральную воду" (ТР ЕАЭС 044/2017) (далее соответственно – продукция, технический регламент), до дня вступления технического регламента в силу, действительны до окончания срока их действия, но не позднее 31 декабря 2021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технического регламента в силу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 1 июля 2019 г. допускаются производство и выпуск в обращение на территориях государств-членов продукции, не подлежавшей до дня вступления технического регламента в силу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 31 декабря 2021 г.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при наличии документов об оценке соответствия продукции указанным обязательным требованиям, выданных или принятых до дня вступления технического регламента в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обращение продукции, указанной в подпунктах "б" и "в" настоящего пункта, допускается в течение срока годности такой продукции, установленного в соответствии с законодательством государства-члена.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23.06.2020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Члену Коллегии (Министру) по техническому регулированию Евразийской экономической комиссии Корешкову В.Н. совместно с государствами-членами подготовить для рассмотрения на заседании Коллегии Евразийской экономической комиссии до дня вступления технического регламента в силу: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проект решения Коллегии Евразийской экономической комиссии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в части, касающейся применения в отношении продукции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указанным Решением;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проект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регламента. 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