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b3f9" w14:textId="8afb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осуществления Евразийской экономической комиссией ценового мониторинга и анализа конкурентоспособности сельскохозяйственной продукции и продукции пищевой промышленности, производимой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июня 2017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Евразийской экономической комиссией ценового мониторинга и анализа конкурентоспособности сельскохозяйственной продукции и продукции пищевой промышленности, производимой в государствах – членах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2017 г. № 67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осуществления Евразийской экономической комиссией ценового мониторинга и анализа конкурентоспособности сельскохозяйственной продукции и продукции пищевой промышленности, производимой в государствах – членах Евразийского экономического союза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Настоящая Методика разработана в целях осуществления Департаментом агропромышленной политики Евразийской экономической комиссии ценового мониторинга и анализа конкурентоспособности сельскохозяйственной продукции и продукции пищевой промышленности, производимой в государствах – членах Евразийского экономического союза (далее соответственно – продукция, государства-члены), путем проведения анализа информации об уровнях цен на продукцию и их динамике, анализа конкурентоспособности продукции в целях развития общего аграрного рынка в рамках Евразийского экономического союза (далее – анализ).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не проводится в отношении семян сельскохозяйственных растений.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При проведении анализа используется следующая информация: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официальная статистическая информация Евразийского экономического союза;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официальная статистическая информация государств-членов;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статистические данные о торговле товарами UN Comtrade.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Показатели конкурентоспособности продукции на внутренних и внешних рынках государств-членов определяются на основе комплексного, системного подхода при соблюдении следующих принципов, предусмотренных международными стандартами: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достоверность и объективность;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единообразие номенклатур в части, касающейся анализируемой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сопоставимость цен на продукцию за счет осуществления пересчета национальных валют государств-членов в доллары США;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периодичность проведения расчетов.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В целях проведения ценового мониторинга и анализа конкурентоспособности продукции применяются следующие методы исследования: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монографический метод;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метод группировок;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метод сравнительного анализа;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выборочный метод;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 метод экспертных оценок;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 абстрактно-логический метод;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 экономико-статистический метод;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расчетно-конструктивный метод.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Учитывая, что цены производителей и потребительские цены в каждом государстве-члене исчисляются в национальной валюте, в целях обеспечения сопоставимости данных осуществляется пересчет национальных валют государств-членов в доллары США по курсам валют, публикуемым национальными (центральными) банками государств-членов.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Периоды, за которые анализируется информация, – месяц и год.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Информация, полученная в рамках ценового мониторинга и анализа конкурентоспособности продукции, включается в сводные таблицы по формам согласно приложению № 1.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Последовательность осуществления ценового мониторинга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Ценовой мониторинг осуществляется в отношении продукции,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Номенклатурой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 и продукции пищевой промышленности, производимой в государствах – членах Евразийского экономического союза, в отношении которой Евразийской экономической комиссией осуществляются ценовой мониторинг и анализ конкурентоспособности, утвержденной Решением Совета Евразийской экономической комиссии от 12 февраля 2016 г. № 15.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осуществлении мониторинга цен на продукцию во внешней и взаимной торговле государств-членов в целях сопоставимости наименований продукции с единой Товарной номенклатурой внешнеэкономической деятельности Евразийского экономического союза используется информация согласно приложению № 2.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 В процессе осуществления мониторинга средних цен производителей и средних потребительских цен на продукцию информация указывается в сводной таблице (таблица 1 приложения № 1 к настоящей Методике).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В целях осуществления мониторинга цен на продукцию во внешней и взаимной торговле осуществляется расчет средневзвешенных цен.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Экспортные цены рассчитываются на условиях FOB.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Импортные цены рассчитываются на условиях CIF.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Во взаимной торговле экспортные цены рассчитываются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,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экспортная цена i-го вида продукции во взаимной торговле (в долларах США за тонну);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– экспорт i-го вида продукции в стоимостном выражении во все государства-члены (в долларах США);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– экспорт i-го вида продукции в натуральном выражении во все государства-члены (в тоннах).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процессе осуществления мониторинга цен на продукцию во взаимной торговле информация указывается в сводной таблице (таблица 2 приложения № 1 к настоящей Методике).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Во внешней торговле государств-членов экспортные и импортные цены рассчитываются по следующей формуле: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,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– экспортная или импортная цена i-го вида продукции во внешней торговле соответственно (в долларах США за тонну);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– экспорт или импорт i-го вида продукции в стоимостном выражении в третьи страны соответственно (в долларах США);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экспорт или импорт i-го вида продукции в натуральном выражении в третьи страны соответственно (в тоннах).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процессе осуществления мониторинга цен на продукцию во внешней торговле информация указывается в сводной таблице (таблица 3 приложения № 1 к настоящей Методике).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Последовательность анализа конкурентоспособности продукции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проведения анализа конкурентоспособности продукции проводится анализ среднегодовых цен производителей в государствах-членах в национальных валютах исходя из официальной статистической информации государств-членов. В случае отсутствия указанной информации допускается расчет среднегодовых цен как среднеарифметическое значение среднемесячных цен по видам продукции.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проведенных расчетов информация о среднегодовых ценах производителей продукции указывается в сводной таблице (таблица 4 приложения № 1 к настоящей Методике). Таким образом выявляется государство-член с наиболее низкой ценой производителей продукции, то есть с наиболее конкурентоспособной ценой.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Сравнение средних цен производителей в государствах-членах позволяет определить конкурентоспособность продукции на уровне производства.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 Анализ объемов производства продукции в государствах-членах проводится на основании официальной статистической информации государств-членов.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Удельный вес экспорта в объемах собственного производства рассчитывается по следующей формуле: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,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– удельный вес экспорта в производстве (в процентах);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– объемы производства i-го вида продукции (в тысячах тонн);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– объемы экспорта i-го вида продукции (в тысячах тонн).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проведенного анализа информация об объемах производства продукции и объемах ее экспорта по каждому государству-члену и виду продукции указывается в сводной таблице (таблица 5 приложения № 1 к настоящей Методике).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Анализ соотношения среднегодовых цен производителей продукции с импортными ценами на данную продукцию на внешнем рынке проводится по каждому государству-члену.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Соотношение среднегодовых цен производителей продукции и импортных цен на данную продукцию на внешнем рынке представляет собой коэффициент, характеризующий конкурентоспособность такой продукции по сравнению с импортными аналогами. При определении данного соотношения импортная цена увеличивается на размер ввозных таможенных пошлин и НДС.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конкурентоспособности продукции рассчитывается по следующей формуле: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,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– коэффициент конкурентоспособности i-го вида продукции j-го государства-члена; 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СЦП – средняя цена производителей i-го вида продукции j-го государства-члена (в долларах США за тонну);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ИЦ – цена импортируемого i-го вида продукции на границе j-го государства на условиях поставки CIP (в долларах США за тонну);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ТП – ввозные таможенные пошлины на импортируемый i-й вид продукции в j-е государство-член (в долларах США за тонну);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НДС – налог на добавленную стоимость на импортируемый i-й вид продукции в j-е государство-член (в долларах США за тонну).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Продукция считается конкурентоспособной в случае, если коэффициент ее конкурентоспособности меньше 1. Чем меньше значение коэффициента конкурентоспособности, тем продукция считается более конкурентоспособной.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Размеры ввозных таможенных пошлин на продукцию определяются в соответствии с Единым таможенным тарифом Евразийского экономического союза.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проведенного анализа информация о значениях коэффициента конкурентоспособности продукции по каждому государству-члену и виду продукции указывается в сводной таблице (таблица 6 приложения № 1 к настоящей Методике).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Определение показателей конкурентоспособности продукции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Комплексный показатель конкурентоспособности продукции может определяться по каждому i-му виду продукции для j-го государства-члена на основе агрегирования следующих показателей: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средняя цена производителей (Сij);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экспортная цена (Cэij);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объемы производства i-го вида продукции j-го государства-члена (Vij);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производство i-го вида продукции на душу населения j-го государства-члена (Пij);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экспорта в натуральном выражении (в том числе в другие государства-члены) i-го вида продукции j-го государства-члена (Dij);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коэффициент конкурентоспособности i-го вида продукции j-го государства-члена (Kij).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Производство отдельных видов продукции на душу населения рассчитывается на основе данных органов (служб) государственной статистики государств-членов по следующей формуле: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,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Пij – производство i-го вида продукции на душу населения (в килограммах);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Vi – производство i-го вида продукции (в тоннах);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Hj – среднегодовая численность населения (в тысячах человек).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проведения дальнейших расчетов каждый из указанных показателей делится на наибольшее значение, полученное по всем государствам-членам: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, ,  , ,,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каждого j-го государства-члена рассчитывается комплексный показатель конкурентоспособности i-го вида продукции по следующей формуле: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,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отсутствии экспорта продукции данного вида данный показатель принимается равным нулю.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сопоставления конкурентоспособности государств-членов комплексные показатели конкурентоспособности государств-членов по i-й продукции рассчитываются в процентах по следующей формуле: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,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– комплексный показатель конкурентоспособности i-го вида продукции j-го государства-члена.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Чем выше комплексный показатель конкурентоспособности продукции государства-члена, тем данная продукция, экспортируемая из этого государства-члена, более конкурентоспособна.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Показатели конкурентоспособности продукции на внешних рынках определяются следующими способами: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оценка конкурентоспособности продукции на основе объемов экспорта проводится с использованием коэффициента выявленного сравнительного преимущества (индекса Балассы), рассчитанного по следующей формуле: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RCA = (/,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RCA – коэффициент выявленного сравнительного преимущества;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Хij – объем экспорта i-го вида продукции j-го государства-члена;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Хni – объем мирового экспорта i-го вида продукции;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Xjt – объем экспорта всех видов продукции, произведенной в j-м государстве-члене;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Xnt – объем мирового экспорта всех видов продукции.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Расчеты проводятся в стоимостном выражении (в долларах США).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Коэффициент выявленного сравнительного преимущества измеряет отношение стоимостных объемов экспорта i-го вида продукции из j-го государства-члена к общему стоимостному объему экспорта этого государства-члена и отношение мирового стоимостного объема экспорта i-го вида продукции к мировому стоимостному объему экспорта всех видов продукции.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Конкурентное преимущество в производстве i-го вида продукции считается доказанным в случае, если коэффициент выявленного сравнительного преимущества больше 1;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оценка конкурентоспособности продукции на основе стоимостных объемов ее экспорта и импорта проводится с использованием коэффициента выявленного сравнительного преимущества (индекса Лафея), рассчитанного по следующей формуле: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, 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где: 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LFI – коэффициент выявленного сравнительного преимущества;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Хij – объем экспорта i-го вида продукции j-го государства-члена; 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Mij – объем импорта i-го вида продукции j-го государства-члена; 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– число видов продукции с 1 по 24 группу Единого таможенного тарифа Евразийского экономического союза. 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Расчеты проводятся в стоимостном выражении (в долларах США). 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Формула представляет собой нормированное произведение 100 на разность между отношением чистого экспорта i-го вида продукции к ее внешнеторговому обороту в определенном году и отношением совокупного чистого экспорта i-го вида продукции к внешнеторговому обороту, а также на долю последнего по i-му виду продукции в совокупном внешнеторговом обороте государства-члена.  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Положительные значения индекса Лафея указывают на наличие конкурентных преимуществ. Чем выше значение данного индекса, тем выше уровень конкурентоспособности i-го вида продукции j-го государства-члена. Отрицательные значения данного индекса свидетельствуют о неконкурентоспособности i-го вида продукции. Другой важной характеристикой данного индекса является ограничение по минимальному и максимальному значениям – от минус 50 (низкая конкурентоспособность) до плюс 50 (высокая конкурентоспособность). 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осуществления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ценового мониторинга и анализа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продукции и продукции 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промышленности, производимой в государствах – членах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 </w:t>
      </w:r>
      <w:r>
        <w:br/>
      </w:r>
      <w:r>
        <w:rPr>
          <w:rFonts w:ascii="Times New Roman"/>
          <w:b/>
          <w:i w:val="false"/>
          <w:color w:val="000000"/>
        </w:rPr>
        <w:t xml:space="preserve">сводных таблиц, в которые включается информация, полученная </w:t>
      </w:r>
      <w:r>
        <w:br/>
      </w:r>
      <w:r>
        <w:rPr>
          <w:rFonts w:ascii="Times New Roman"/>
          <w:b/>
          <w:i w:val="false"/>
          <w:color w:val="000000"/>
        </w:rPr>
        <w:t xml:space="preserve">в рамках ценового мониторинга и анализа конкурентоспособности сельскохозяйственной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и продукции пищевой промышленности государств – членов Евразийского экономического союза 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2791"/>
        <w:gridCol w:w="2380"/>
        <w:gridCol w:w="2380"/>
        <w:gridCol w:w="1902"/>
        <w:gridCol w:w="1903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105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номинальный курс доллара США (в национальной валюте государства-члена)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производителей (в национальной валюте государства-члена)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потребительская цена (в национальной валюте государства-члена)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производителей (долл. США)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потребительская цена (долл. 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  <w:bookmarkEnd w:id="107"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08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  <w:bookmarkEnd w:id="109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0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11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1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  <w:bookmarkEnd w:id="113"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4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15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  <w:bookmarkEnd w:id="117"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8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19"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3168"/>
        <w:gridCol w:w="3974"/>
        <w:gridCol w:w="3928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  <w:bookmarkEnd w:id="120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i-го вида продукции  в стоимостном выражении во все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i-го вида продукции в натуральном выражении во все государства-члены (т)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Экспортная цена i-го вида продукции во взаимной торговле (долл. США/т)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  <w:bookmarkEnd w:id="12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3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24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5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26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  <w:bookmarkEnd w:id="12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29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0"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053"/>
        <w:gridCol w:w="1833"/>
        <w:gridCol w:w="1957"/>
        <w:gridCol w:w="2053"/>
        <w:gridCol w:w="1834"/>
        <w:gridCol w:w="1958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131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i-го вида продукции в стоимостном выражении в третьи страны (долл. США)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i-го вида продукции в натуральном выражении в третьи страны  (т)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Экспортная цена i-го вида продукции во внешней торговле (долл. США/т)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i-го вида продукции в стоимостном выражении в третьи страны (долл. США)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i-го вида продукции в натуральном выражении в третьи страны (т)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Импортная цена i-го вида продукции во внешней торговле (долл. США/т)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  <w:bookmarkEnd w:id="133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4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35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36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37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3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  <w:bookmarkEnd w:id="139"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40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1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8523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  <w:bookmarkEnd w:id="142"/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цена производителей (долл. США/т)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43"/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5"/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46"/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8"/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780"/>
        <w:gridCol w:w="3780"/>
        <w:gridCol w:w="3472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  <w:bookmarkEnd w:id="149"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производства i-го вида продукции (тыс. т)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экспорта i-го вида продукции (тыс. т)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экспорта в производстве (%)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50"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1"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2"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53"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10"/>
        <w:gridCol w:w="1568"/>
        <w:gridCol w:w="2324"/>
        <w:gridCol w:w="2389"/>
        <w:gridCol w:w="813"/>
        <w:gridCol w:w="2778"/>
        <w:gridCol w:w="1472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bookmarkEnd w:id="1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продук-ции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цена производите-лей i-го вида продукции j-го государства-члена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США/т)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импортируемо-го i-го вида продукции на границе j-го государства-члена (долл. США/т)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на импортируемый i-й вид продукции в j-е государство-член (долл. США/т)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(долл. США/т)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импортируемого i-го вида продукции на границе j-го государства-члена с учетом таможенных пошлин и НДС (долл. США/т)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конкуренто-способности i-го вида продукции j-го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57"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</w:p>
          <w:bookmarkEnd w:id="160"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осуществления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ценового мониторинга и анализа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продукции и продукции 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промышленности, производимой в государствах – членах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 </w:t>
            </w:r>
          </w:p>
        </w:tc>
      </w:tr>
    </w:tbl>
    <w:bookmarkStart w:name="z19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наименований продукции, предусмотренной Номенклатурой сельскохозяйственной продукции и продукции пищевой промышленности, производимой в государствах – членах Евразийского экономического союза, в отношении которой Евразийской экономической комиссией осуществляются ценовой мониторинг и анализ конкурентоспособности, и кодов ТН ВЭД ЕАЭС 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9203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в соответствии с Номенклатурой</w:t>
            </w:r>
          </w:p>
          <w:bookmarkEnd w:id="164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Сельскохозяйственная продукция, в отношении которойосуществляются мониторинг средних отпускных цен и анализ конкурентоспособности </w:t>
            </w:r>
          </w:p>
          <w:bookmarkEnd w:id="165"/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166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  <w:bookmarkEnd w:id="167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168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bookmarkEnd w:id="169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  <w:bookmarkEnd w:id="170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1005 90 000 0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  <w:bookmarkEnd w:id="171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</w:t>
            </w:r>
          </w:p>
          <w:bookmarkEnd w:id="172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1206 00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  <w:bookmarkEnd w:id="173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1212 91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174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  <w:bookmarkEnd w:id="175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  <w:bookmarkEnd w:id="176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0703 10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  <w:bookmarkEnd w:id="177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0706 10 000 1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  <w:bookmarkEnd w:id="178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0706 90 900 1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  <w:bookmarkEnd w:id="179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семечковых культур</w:t>
            </w:r>
          </w:p>
          <w:bookmarkEnd w:id="180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косточковых культур</w:t>
            </w:r>
          </w:p>
          <w:bookmarkEnd w:id="181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ягодных культур</w:t>
            </w:r>
          </w:p>
          <w:bookmarkEnd w:id="182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183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  <w:bookmarkEnd w:id="184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185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  <w:bookmarkEnd w:id="186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  <w:bookmarkEnd w:id="187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  <w:bookmarkEnd w:id="188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  <w:bookmarkEnd w:id="189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0407 21 000 0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прудовая</w:t>
            </w:r>
          </w:p>
          <w:bookmarkEnd w:id="190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0301 99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Продукция пищевой промышленности, в отношении которой осуществляются мониторинг средних отпускных цен и анализ конкурентоспособности</w:t>
            </w:r>
          </w:p>
          <w:bookmarkEnd w:id="191"/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  <w:bookmarkEnd w:id="192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  <w:bookmarkEnd w:id="193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  <w:bookmarkEnd w:id="194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  <w:bookmarkEnd w:id="195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свежее</w:t>
            </w:r>
          </w:p>
          <w:bookmarkEnd w:id="196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bookmarkEnd w:id="197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</w:t>
            </w:r>
          </w:p>
          <w:bookmarkEnd w:id="198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0406 20 000 0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0406 30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0406 40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0406 90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  <w:bookmarkEnd w:id="199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  <w:bookmarkEnd w:id="200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1701 99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  <w:bookmarkEnd w:id="201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1101 00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  <w:bookmarkEnd w:id="202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обрушенный</w:t>
            </w:r>
          </w:p>
          <w:bookmarkEnd w:id="203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1006 30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замороженная</w:t>
            </w:r>
          </w:p>
          <w:bookmarkEnd w:id="204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Льноволокно</w:t>
            </w:r>
          </w:p>
          <w:bookmarkEnd w:id="205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Продовольственные товары, в отношении которых осуществляются мониторинг средних потребительских цен и анализ конкурентоспособности</w:t>
            </w:r>
          </w:p>
          <w:bookmarkEnd w:id="206"/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(кроме бескостного мяса)</w:t>
            </w:r>
          </w:p>
          <w:bookmarkEnd w:id="207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(кроме бескостного мяса)</w:t>
            </w:r>
          </w:p>
          <w:bookmarkEnd w:id="208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(кроме бескостного мяса)</w:t>
            </w:r>
          </w:p>
          <w:bookmarkEnd w:id="209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(кроме бескостного мяса)</w:t>
            </w:r>
          </w:p>
          <w:bookmarkEnd w:id="210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  <w:bookmarkEnd w:id="211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bookmarkEnd w:id="212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</w:t>
            </w:r>
          </w:p>
          <w:bookmarkEnd w:id="213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0406 20 000 0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0406 30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0406 40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0406 90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</w:t>
            </w:r>
          </w:p>
          <w:bookmarkEnd w:id="214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0407 21 000 0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  <w:bookmarkEnd w:id="215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  <w:bookmarkEnd w:id="216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1701 99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  <w:bookmarkEnd w:id="217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1101 00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Макаронные изделия </w:t>
            </w:r>
          </w:p>
          <w:bookmarkEnd w:id="218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  <w:bookmarkEnd w:id="219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220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</w:t>
            </w:r>
          </w:p>
          <w:bookmarkEnd w:id="221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  <w:bookmarkEnd w:id="222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0703 10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  <w:bookmarkEnd w:id="223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0706 10 000 1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  <w:bookmarkEnd w:id="224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0706 90 900 1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  <w:bookmarkEnd w:id="225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0808 10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  <w:bookmarkEnd w:id="226"/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0301 99</w:t>
            </w:r>
          </w:p>
        </w:tc>
      </w:tr>
    </w:tbl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Примечание. В настоящем перечне под Номенклатурой понимается Номенклатура сельскохозяйственной продукции и продукции пищевой промышленности, производимой в государствах – членах Евразийского экономического союза, в отношении которой Евразийской экономической комиссией осуществляются ценовой мониторинг и анализ конкурентоспособности, утвержденная Решением Совета Евразийской экономической комиссии от 12 февраля 2016 г. № 15.  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