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1ca1" w14:textId="a211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научно-исследовательских работ Евразийской экономической комиссии на 2017 –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августа 2017 года № 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30 мая 2017 г. № 147: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2017 – 2018 годы, утвержденный распоряжением Коллегии Евразийской экономической комиссии от 16 мая 2017 г. № 48,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2017 г. № 104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план научно-исследовательских работ Евразийской экономической комиссии  </w:t>
      </w:r>
      <w:r>
        <w:br/>
      </w:r>
      <w:r>
        <w:rPr>
          <w:rFonts w:ascii="Times New Roman"/>
          <w:b/>
          <w:i w:val="false"/>
          <w:color w:val="000000"/>
        </w:rPr>
        <w:t xml:space="preserve">на 2017 – 2018 годы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В разделе II: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после подраздела "Департамент санитарных, фитосанитарных и ветеринарных мер" дополнить подразделами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29"/>
        <w:gridCol w:w="237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протокола и организационного обеспечения</w:t>
            </w:r>
          </w:p>
          <w:bookmarkEnd w:id="6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"Анализ и разработка интеграционных позиций и интеграционных механизмов для бизнес-сообществ Евразийского экономического союза (ЕАЭС) в рамках стратегий и планов Евразийской экономической комиссии, способствующих вовлечению бизнес-сообществ ЕАЭС в процессы евразийской интеграции" </w:t>
            </w:r>
          </w:p>
          <w:bookmarkEnd w:id="7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протокола и организационного обеспечения – 1 НИР</w:t>
            </w:r>
          </w:p>
          <w:bookmarkEnd w:id="8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развития предпринимательской деятельности </w:t>
            </w:r>
          </w:p>
          <w:bookmarkEnd w:id="9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 "Проведение исследований с методологической поддержкой и сопровождением реализации планов либерализации в сфере строительства, проектирования и инжиниринга, в том числе сравнительный анализ и обобщение нормативного регулирования и практики его применения в государствах – членах Евразийского экономического союза, а также выявление наилучшего международного опыта, определение наличия или отсутствия содержательной эквивалентности мер регулирования, выявление актов (их положений), подлежащих гармонизации (включая разработку и согласование методологии)" </w:t>
            </w:r>
          </w:p>
          <w:bookmarkEnd w:id="10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развития предпринимательской деятельности – 1 НИР</w:t>
            </w:r>
          </w:p>
          <w:bookmarkEnd w:id="11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защиты внутреннего рынка  </w:t>
            </w:r>
          </w:p>
          <w:bookmarkEnd w:id="12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"Разработка методологии установления возможности возобновления либо продолжения демпингового (субсидируемого) импорта и причинения материального ущерба отрасли экономики государств – членов Евразийского экономического союза в рамках проведения повторных антидемпинговых (компенсационных) расследований в связи с истечением срока действия антидемпинговой (компенсационной) меры"  </w:t>
            </w:r>
          </w:p>
          <w:bookmarkEnd w:id="13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2.НИР "Разработка методологии оценки влияния демпингового (субсидируемого) импорта на цены отрасли экономики государств – членов Евразийского экономического союза в рамках антидемпинговых (компенсационных) расследований"</w:t>
            </w:r>
          </w:p>
          <w:bookmarkEnd w:id="14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3.НИР "Разработка методологии расчета ущерба интересам потребителей государств – членов Евразийского экономического союза от введения специальных защитных, антидемпинговых и компенсационных мер в соответствии с пунктом 272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года)" </w:t>
            </w:r>
          </w:p>
          <w:bookmarkEnd w:id="15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защиты внутреннего рынка – 3 НИР </w:t>
            </w:r>
          </w:p>
          <w:bookmarkEnd w:id="16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агропромышленной политики </w:t>
            </w:r>
          </w:p>
          <w:bookmarkEnd w:id="17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1.НИР "Разработка методик оценки племенной ценности крупного рогатого скота молочного и мясного направления продуктивности, свиней" </w:t>
            </w:r>
          </w:p>
          <w:bookmarkEnd w:id="18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2.НИР "Разработка научно-обоснованных методов и методик определения сортовых качеств семян сельскохозяйственных растений в рамках ЕАЭС с учетом мирового опыта" </w:t>
            </w:r>
          </w:p>
          <w:bookmarkEnd w:id="19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агропромышленной политики – 2 НИР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технического регулирования и аккредитации  </w:t>
            </w:r>
          </w:p>
          <w:bookmarkEnd w:id="21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 "Разработка предложений по нормативно-правовому регулированию оценки соответствия продукции требованиям технических регламентов Евразийского экономического союза (Таможенного союза) на основе анализа рисков в случае неприменения стандартов, включенных в соответствии с пунктом 4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в соответствующие перечни стандартов"</w:t>
            </w:r>
          </w:p>
          <w:bookmarkEnd w:id="22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2.НИР "Проведение исследований систем технического регулирования государств-членов и стран-наблюдателей Шанхайской организации сотрудничества (ШОС) с учетом анализа возможностей и перспектив заключения соответствующего международного договора между Евразийским экономическим союзом и его государствами-членами, с одной стороны, и ШОС, и ее государствами-членами или государствами-наблюдателями, с другой стороны, по устранению технических барьеров в торговле, а также разработка рекомендаций по проектам договоров (соглашений) между ЕАЭС и третьими странами о взаимном признании, включая секторальные приложения"</w:t>
            </w:r>
          </w:p>
          <w:bookmarkEnd w:id="23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3.НИР "Разработка концептуальных и методических основ применения риск-ориентированного подхода при организации государственного контроля (надзора) за соблюдением требований технических регламентов Союза (Таможенного союза)"</w:t>
            </w:r>
          </w:p>
          <w:bookmarkEnd w:id="24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НИР "Проведение информационно-аналитических исследований и анализ международных, региональных и национальных нормативно-технических баз для целей реализации требований технических регламентов Таможенного союза (Евразийского экономического союза) и обеспечения исследований (испытаний) и измерений при оценке соответствия объектов технического регулирования и подготовка по результатам исследований предложений по совершенствованию нормативно-технической базы, в том числе по актуализации перечней стандартов, разработке межгосударственных стандартов, обеспечивающих реализацию технических регламентов Таможенного союза (Евразийского экономического союза), и стратегическим приоритетам развития стандартизации" </w:t>
            </w:r>
          </w:p>
          <w:bookmarkEnd w:id="25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технического регулирования и аккредитации – 4 НИР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таможенной инфраструктуры</w:t>
            </w:r>
          </w:p>
          <w:bookmarkEnd w:id="27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 "Разработка методологии описания требований по формированию электронных документов, используемых при совершении таможенных операций" </w:t>
            </w:r>
          </w:p>
          <w:bookmarkEnd w:id="28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таможенной инфраструктуры – 1 НИР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транспорта и инфраструктуры</w:t>
            </w:r>
          </w:p>
          <w:bookmarkEnd w:id="30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 "Анализ условий хозяйственной деятельности автомобильных перевозчиков государств – членов ЕАЭС и выработка рекомендаций по гармонизации законодательства указанных государств в целях обеспечения справедливой конкуренции и повышения эффективности использования автомобильного транспорта"</w:t>
            </w:r>
          </w:p>
          <w:bookmarkEnd w:id="31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2.НИР "Разработка предложений по поэтапному формированию общего рынка услуг воздушного транспорта Евразийского экономического союза" </w:t>
            </w:r>
          </w:p>
          <w:bookmarkEnd w:id="32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транспорта и инфраструктуры – 2 НИР"; </w:t>
            </w:r>
          </w:p>
          <w:bookmarkEnd w:id="33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в позиции "Всего по вновь начинаемым работам – 10 НИР" цифры "10" заменить цифрами "24". 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В позиции "ИТОГО по Евразийской экономической комиссии – 35 НИР" цифры "35" заменить цифрами "49". 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