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d63a" w14:textId="c3cd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принятия таможенными органами документов об оценке соответствия требованиям технических регламентов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2017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в рамках Евразийского экономического союза (приложение № 9 к указанному Договору),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в целях обеспечения соблюдения мер технического регулирования в отношении продукции, ввозимой на территории государств – членов Евразийского экономического союза (далее соответственно – государства-члены, Союз),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Совета Евразийской экономической комиссии от 20.12.2017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Таможенным органам государств-членов обеспечить принятие документов об оценке соответствия требованиям технических регламентов Союза, выданных (зарегистрированных) на территориях любых государств-членов, в отношении товаров, ввозимых из третьих стран на территории государств-членов, и последующий выпуск таких товаров с указанными документами.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Правительствам государств-членов обеспечить завершение работ по согласованию технологических документов, регламентирующих информационное взаимодействие при реализации средствами интегрированной информационной системы Союза, позволяющих оперативно и в автоматическом режиме применять таможенными органами государств-членов при совершении таможенных операций сведений из единых реестров выданных или принятых документов об оценке соответствия требованиям технических регламентов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 завершения работ по присоединению к общему процессу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под запрашивающими уполномоченными органами государств-членов, получающими сведения о документах об оценке соответствия требованиям технических регламентов Союза из национальных частей единого реестра выданных сертификатов соответствия и зарегистрированных деклараций о соответствии (далее – единый реестр) в соответствии с технологическими документами,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мая 2016 г. № 39, понимаются в том числе таможенные органы государств-членов.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Совета Евразийской экономической комиссии от 20.12.2017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Таможенным органам государств-членов до завершения работ по присоединению к общему процессу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обеспечить: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сведений о документах об оценке соответствия требованиям технических регламентов Союза из национальных частей единого реестра; 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сведений о документах об оценке соответствия требованиям технических регламентов Союза из национальных частей единого реестра в автоматическом режиме по запросу в соответствии с технологическими документами, указанными в пункте 3 настоящего Решения, по мере готовности информационных систем таможенных органов государств-членов, но не позднее 180 дней с даты вступления настоящего Решения в силу.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20.12.2017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Государственным органам государств-членов, уполномоченным на ведение национальных частей единого реестра, обеспечить передачу таможенным органам государств-членов по их запросу сведений о документах об оценке соответствия требованиям технических регламентов Союза из национальных частей единого реестра в автоматическом режиме в соответствии с технологическими документами, указанными в пункте 3 настоящего Решения, по мере готовности информационных систем указанных уполномоченных органов государств-членов, но не позднее 180 дней с даты вступления настоящего Решения в силу.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20.12.2017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10 календарных дней с даты его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1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