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53cf" w14:textId="c675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регламенте Евразийского экономического союза "О безопасности оборудования для детских игровых площадок"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мая 2017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Принять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оборудования для детских игровых площадок" (ТР ЕАЭС 042/2017).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Установить, что технический регламент Евразийского экономического союза "О безопасности оборудования для детских игровых площадок" (ТР ЕАЭС 042/2017) вступает в силу по истечении 18 месяцев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2017 г. № 21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"О безопасности оборудования для детских игровых площадок" (ТР ЕАЭС 042/2017)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Область применения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утилизации.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– Союз) и размещенные на открытых территориях или в закрытых помещениях,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Настоящий технический регламент не распространяется на: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спортивное оборудование и изделия, предназначенные для тренировок и занятий физической культурой, спортом и туризмом;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аттракционы, на которые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аттракционов" (ТР ЕАЭС 038/2016), принятого Решением Совета Евразийской экономической комиссии от 18 октября 2016 г. № 114;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игрушки.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Для целей применения настоящего технического регламента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Договору о Евразийском экономическом союзе от 29 мая 2014 года), а также понятия, которые означают следующее: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"возрастная группа" – группа детей определенного возраста, имеющих схожие рост, вес, физическую силу и уровень интеллектуального развития;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"детская игровая площадка" – специально оборудованная территория, предназначенная для игры детей, включающая в себя соответствующие оборудование и покрытие;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"детский городок (игровой комплекс)" – многофункциональное оборудование для детской игровой площадки, состоящее из нескольких конструкций;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"жизненный цикл оборудования и (или) покрытия" – временной период от начала проектирования до завершения эксплуатации оборудования и (или) покрытия, включающий в себя в том числе производство, хранение, перевозку, монтаж, модернизацию, ремонт, техническое обслуживание и утилизацию;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"зона падения" – поверхность, на которую может попасть пользователь после падения с оборудования;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"зона приземления" – зона детской игровой площадки, в которой осуществляются торможение и остановка ребенка;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"критическая высота падения" – максимальная высота падения с оборудования, при которой покрытие обеспечивает необходимый уровень демпфирования удара;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"назначенный срок службы" – продолжительность эксплуатации оборудования,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"оборудование" – оборудование, установленное на детской игровой площадке, с которым или на котором дети могут играть индивидуально или группой по своему усмотрению и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"паспорт" –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"покрытие" – участок поверхности детской игровой площадки размером не менее зоны приземления, используемый совместно с оборудованием;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"пользователь" – ребенок, использующий по назначению оборудование и (или) покрытие, и лицо, осуществляющее присмотр за ним;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"продавец" – являющиеся резидентами государства – члена Союза юридическое лицо или физическое лицо, зарегистрированное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"ребенок" – пользователь детской игровой площадкой в возрасте до 14 лет;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"ремонт" – комплекс операций по восстановлению оборудования и (или) покрытия в целях обеспечения их исправности или работоспособности;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"тип оборудования и (или) покрытия" –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"ударопоглощающее покрытие" – покрытие, обладающее амортизационными свойствами;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"эксплуатант" –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 соответствие требованиям настоящего технического регламента с момента ввода в эксплуатацию детской игровой площадки;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"эксплуатация оборудования и (или) покрытия" – стадия жизненного цикла с момента ввода в эксплуатацию оборудования и (или) покрытия до их утилизации.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идентификации оборудования и (или) покрытия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оборудования и (или) покрытия.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Идентификация оборудования и (или) покрытия осуществляется по их наименованию и (или) документации визуальным методом.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 Для идентификации оборудования и (или) покрытия в целях применения настоящего технического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В качестве товаросопроводительной документации могут быть использованы договоры поставки, и (или) спецификации, и (или) этикетки, и (или) аннотации, а также другие документы, характеризующие оборудование и (или) покрытие.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Правила обращения оборудования и (или) покрытия на рынке Союза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разделу IX настоящего технического регламента и другим техническим регламентам Союза (Таможенного союза), действие которых на них распространяется.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Оборудование и (или) покрытие, соответствие которых требованиям настоящего технического регламента не подтверждено, не маркируются единым знаком обращения продукции на рынке Союза и не допускаются к выпуску в обращение на рынке Союза.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Требования безопасности к оборудованию и (или) покрытию при проектировании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 При проектировании оборудования и (или) покрытия необходимо обеспечить: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соответствие конструкторской документации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проведение комплекса необходимых расчетов и испытаний, основанных на аттестованных в установленном порядке методиках;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выбор материалов (сырья), применяемых при производстве оборудования и (или) покрытия, в зависимости от параметров и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 эксплуатации;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установление критериев предельных состояний;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установление назначенных сроков службы, сроков технического обслуживания и ремонта;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выявление всех опасностей, связанных с возможной предсказуемой неправильной эксплуатацией оборудования и (или) покрытия;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установление ограничений по эксплуатации оборудования и (или) покрытия.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Риск при эксплуатации оборудования и (или) покрытия необходимо рассчитывать с учетом целевой возрастной группы.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 Разработка паспорта является неотъемлемой частью проектирования оборудования. 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Требования безопасности к оборудованию и (или) покрытию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 При производстве оборудования и его элементов изготовитель 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Паспорт оборудования после ввода его в эксплуатацию хранится у эксплуатанта.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Материалы, применяемые при производстве оборудования и (или) покрытия, не должны: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оказывать вредное воздействие на здоровье людей и окружающую среду в процессе эксплуатации;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вызывать термический ожог при контакте с кожей пользователя в климатических зонах с очень высокими или очень низкими температурами;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относиться к легковоспламеняющимся материалам;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относиться к чрезвычайно опасным по токсичности продуктам горения;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относиться к материалам, свойства которых недостаточно изучены.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Показатели гигиенической безопасности материалов, применяемых при производстве оборудования и (или) покрытия, должны соответствовать требованиям, указанным в приложении № 2 к настоящему техническому регламенту.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Оборудование и (или) покрытие должны быть произведены таким образом, чтобы при применении по назначению они не представляли опасности для жизни и здоровья пользователей.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Оборудование и его элементы должны быть сконструированы таким образом, чтобы: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соответствовать возрастной группе детей, для которых они предназначены;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был очевиден и легко распознаваем ребенком возможный риск при игре;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лица, присматривающие за детьми, имели возможность доступа внутрь оборудования для оказания помощи детям;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не допускалось скопление воды на поверхности оборудования и обеспечивались свободный сток и просыхание;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обеспечивались доступность и удобство очистки от пыли, грязи и мусора.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Конструкция оборудования: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должна обеспечивать прочность, устойчивость, жесткость и неизменяемость;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должна иметь защиту от коррозии и старения с учетом степени агрессивности среды и стойкости используемых материалов;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не должна иметь выступающих элементов с острыми концами или кромками;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не должна иметь шероховатых поверхностей, способных нанести травму пользователю;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должна иметь защиту выступающих концов болтовых соединений;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должна иметь гладкие сварные швы;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должна иметь закругленные углы и края любой доступной для пользователей части оборудования;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должна исключать возможность демонтажа без применения специализированных инструментов;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должна иметь размеры поперечного сечения элементов оборудования для захвата, при которых обеспечивается возможность захвата детьми;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 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 должна обеспечивать безопасные расстояния между подвижными элементами оборудования и поверхностью игровой площадки;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 должна иметь оснащение перилами и ограждениями;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 не должна допускать застревание тела, частей тела или одежды ребенка;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п) должна обладать необходимой несущей способностью к возникающим нагрузкам.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Закрытое оборудование (тоннели, игровые домики и т. 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блокирования и обеспечивать при необходимости оказание помощи детям без каких-либо дополнительных средств.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По всей зоне приземления с оборудования должны быть установлены ударопоглощающие покрытия.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 Высота свободного падения с оборудования должна учитывать тип ударопоглощающего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руками до зоны приземления.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Границы зоны приземления должны учитывать возможные перемещения ребенка и элементов конструкции.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 Поверхности платформ, проходов, трапов и лестниц должны исключать скольжение при любых погодных условиях.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 Ударопоглощающее покрытие не должно иметь опасных выступов.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 При применении в качестве ударопоглощающего покрытия несыпучих материалов оно не должно иметь участков, на которых возможно застревание частей тела или одежды ребенка.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 Ударопоглощающее покрытие должно сохранять свои свойства вне зависимости от климатических условий.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 Под оборудованием с высотой свободного падения более 60 см ударопоглощающее покрытие оборудуется по всей зоне приземления.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 Критическая высота падения должна быть равной высоте свободного падения с оборудования или превышать такую высоту.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 Оборудование и (или) покрытие должны иметь назначенный срок службы, который устанавливается согласно пункту 12 настоящего технического регламента.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 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Такая информация указывается на русском языке и при наличии соответствующих требований в законодательстве государства – члена Союза (далее –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 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Обеспечение безопасности оборудования и (или) покрытия при их монтаже, эксплуатации, перевозке, хранении и (или) утилизации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 Информация о характеристиках и безопасной эксплуатации оборудования должна быть указана в паспорте.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 Паспорт должен содержать следующую информацию: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технические данные оборудования;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комплектность оборудования;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приемке оборудования;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упаковке оборудования;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гарантийные обязательства изготовителя оборудования;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хранении оборудования;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перевозке оборудования;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консервации и расконсервации оборудования при эксплуатации;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рекомендуемый тип покрытия;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учете неисправностей оборудования при эксплуатации;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учете технического обслуживания оборудования;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ремонте, включая перечень деталей и частей оборудования, которые подвержены большим нагрузкам в процессе эксплуатации оборудования, а также срок и случаи их замены;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инструкция по монтажу оборудования;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безопасной эксплуатации оборудования;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инструкция по осмотру и проверке оборудования перед началом эксплуатации;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инструкция по осмотру, обслуживанию и ремонту оборудования;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утилизации оборудования;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 и год производства оборудования;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возрастных группах (включая ограничения по весу и росту);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назначенный срок службы;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особые отметки (при необходимости);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фото или графический рисунок (при необходимости цветные) оборудования;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чертеж общего вида оборудования с указанием основных размеров;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сборки оборудования;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(план) зоны падения.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 оформляется на русском языке и при наличии соответствующих требований в законодательстве государства-члена на государственном (государственных) языке (языках) государства-члена, на территории которого реализуется оборудование.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 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размеры минимального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порядок монтажа оборудования и (или) покрытия;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необходимые обозначения, облегчающие сборку (например, метки на сборочных частях оборудования и подробные инструкции);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 п.), а также мер предосторожности при монтаже оборудования и (или) покрытия;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 значения момента затяжки резьбовых соединений (при необходимости);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 размеры участка для установки оборудования конкретного вида;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ж) ориентация оборудования и его элементов в целях защиты от воздействия климатических условий (солнца, ветра (при необходимости));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требования к фундаменту, описание конструкции и схема размещения фундамента, требования к анкерному креплению;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описание особенностей ландшафта для обеспечения безопасной эксплуатации оборудования и (или) покрытия;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высота свободного падения (при выборе ударопоглощающего покрытия);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 требование к окраске или специальной пропитке оборудования или его элементов (при необходимости);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 требование к удалению элементов упаковки перед вводом оборудования в эксплуатацию.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 Оборудование должно быть установлено таким образом, чтобы обеспечить безопасность пользователей.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установке оборудования должны учитываться зоны падения и зоны приземления, определенные для соседнего оборудования.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 Конструкция оборудования может предусматривать беспрепятственный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 При применении в качестве ударопоглощающего покрытия на детской игровой площадке сыпучих материалов толщину такого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 Ввод в эксплуатацию оборудования и (или) покрытия осуществляется в порядке, установленном законодательством государств-членов.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 Эксплуатация оборудования и (или) покрытия осуществляется эксплуатантом в соответствии с требованиями настоящего технического регламента и правилами безопасной эксплуатации, установленными паспортом.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 Техническое обслуживание и ремонт оборудования осуществляются в соответствии с паспортом.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 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 Для обеспечения безопасности оборудования внесение эксплуатантом в конструкцию оборудования изменений, влияющих на безопасность его конструкции или элементов, не допускается.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 На детской игровой площадке должна быть размещена информация в виде таблички (пиктограммы), содержащая: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правила пользования оборудованием и сведения о возрастных группах (включая ограничения по росту и весу);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телефонов службы спасения, скорой помощи;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номера телефонов эксплуатанта, по которым следует обращаться в случае неисправности или поломки оборудования.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процессе эксплуатации оборудования должны соблюдаться ограничения по росту и весу, указанные в паспорте.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 Перевозка и хранение оборудования и его элементов должны осуществляться с учетом требований настоящего технического регламента и сведений, указанных в паспорте.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 Утилизация оборудования осуществляется в соответствии с паспортом.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Особенности утилизации оборудования могут устанавливаться законодательством государств-членов в области охраны окружающей среды. 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Обеспечение соответствия оборудования и (или) покрытия требованиям безопасности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 Соответствие оборудования и (или) покрытия настоящему техническому регламенту обеспечивается выполнением следующих требований: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требования гигиенической безопасности,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требования безопасности, установленные настоящим техническим регламентом (за исключением требований, указанных в подпункте "а" настоящего пункта), либо требования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 Методы исследований (испытаний) и измерений оборудования и (или) покрытия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оборудования и (или) покрытия. 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Оценка соответствия оборудования и (или) покрытия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 Оборудование и (или) покрытие, выпускаемые в обращение на рынке Союза, подлежат оценке соответствия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 Оценка соответствия оборудования и (или) покрытия требованиям настоящего технического регламента проводится в формах подтверждения соответствия и оценки технического состояния (технического освидетельствования).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 Подтверждение соответствия оборудования и (или) покрытия требованиям настоящего технического регламента (далее – подтверждение соответствия) осуществляется в форме сертификации или декларирования соответствия.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 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 Оборудование и (или) покрытие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подтверждению соответствия в форме сертификации по следующим схемам: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для оборудования и (или) покрытия, выпускаемых серийно, – схемы 1с и 2с;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для партии оборудования и (или) покрытия – схема 3с;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для единичного изделия – схема 4с.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 Оборудование и (или) покрытие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подтверждению соответствия в форме декларирования соответствия по следующим схемам: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для оборудования и (или) покрытия, выпускаемых серийно, – схемы 1д и 3д;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для партии (единичного изделия) оборудования и (или) покрытия – схемы 2д и 4д.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 При сертификации оборудования и (или) покрытия заявителем может быть: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для схем 1с и 2с – изготовитель (уполномоченное изготовителем лицо);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для схем 3с и 4с – изготовитель (уполномоченное изготовителем лицо) или продавец.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 Выбор схемы сертификации оборудования и (или) покрытия осуществляется заявителем.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 При сертификации оборудования и (или) покрытия заявитель: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предпринимает все необходимые меры, чтобы процесс производства был стабильным и обеспечивал соответствие производимых оборудования и (или) покрытия требованиям настоящего технического регламента (схемы 1с и 2с);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формирует техническую документацию, в том числе: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 (для оборудования);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конструкторскую документацию (схемы 1с и 2с);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по которому изготовлено оборудование и (или) покрытие (схемы 1с и 2с);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прочностных расчетов оборудования и (или) покрытия;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(протоколы) испытаний оборудования и 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– испытательная лаборатория (центр));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о подтверждении характеристик материалов и комплектующих изделий (при наличии);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стандартов, указанных в разделе VIII настоящего технического регламента, которые применялись при производстве (в случае их применения изготовителем);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на систему менеджмента (копию сертификата) (схема 2с);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 (договор на поставку) и товаросопроводительную документацию для партии и единичного изделия оборудования и (или) покрытия (схемы 3с и 4с);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подает заявку на сертификацию оборудования и (или) покрытия с приложением технической документации, предусмотренной подпунктом "б" настоящего пункта, в аккредитованный орган по сертификации, включенный в Единый реестр органов по оценке соответствия Евразийского экономического союза (далее – орган по сертификации).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заявке указывается документ, на соответствие которому сертифицирована система менеджмента (схема 2с).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тип, вид и др. (при наличии)) (схемы 3с и 4с);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наносит единый знак обращения продукции на рынке Союза после завершения процедуры подтверждения соответствия;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извещает в письменной форме орган по сертификации о внесении изменений в конструкцию оборудования и (или) покрытия или технологию их производства, которые могут повлиять на соответствие оборудования и (или) покрытия требованиям настоящего технического регламента (схема 1с);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формирует после завершения процедуры подтверждения соответствия техническую документацию, предусмотренную подпунктом "б" настоящего пункта, протокол (протоколы) испытаний оборудования и (или) покрытия, акт анализа состояния производства изготовителя (схема 1с) и сертификат соответствия.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При сертификации оборудования и (или) покрытия орган по сертификации: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анализирует заявку и техническую документацию, представленные заявителем, и информирует заявителя о решении о проведении сертификации (с указанием условий проведения сертификации) или об отказе в ней (с указанием причин);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проводит идентификацию и отбор образцов оборудования и (или) покрытия у заявителя для проведения испытаний;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обеспечивает проведение испытаний образцов оборудования и (или) покрытия (схемы 1с, 2с и 3с) или единичного изделия оборудования и (или) покрытия (схема 4с) в испытательной лаборатории (центре);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проводит анализ состояния производства у изготовителя, результаты которого оформляются соответствующим актом (схема 1с);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при положительных результатах испытаний образцов оборудования и (или) покрытия, анализа состояния производства (схема 1с) и анализа представленной заявителем технической документации оформляет сертификат соответствия по единой форме, утвержденной Решением Коллегии Евразийской экономической комиссии от 25 декабря 2012 г. № 293, который выдается заявителю;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 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(схема 1с);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проводит инспекционный контроль за сертифицированным оборудованием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 по сертификации систем менеджмента за сертифицированной системой менеджмента (схема 2с);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по результатам инспекционного контроля: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подтверждает действие сертификата соответствия, о чем указывает в акте инспекционного контроля;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отрицательных результатах инспекционного контроля принимает решение о приостановлении либо отмене действия сертификата соответствия.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Доводит решение о результатах инспекционного контроля до заявителя;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 вносит сведения о сертификате соответствия в Единый реестр выданных или принятых документов об оценке соответствия Евразийского экономического союза.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 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зарегистрированный на территории государства-члена и аккредитованный в соответствии с законодательством этого государства-члена.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 Срок действия сертификата соответствия для оборудования и (или) покрытия, выпускаемых серийно, – не более 5 лет, для партии оборудования и (или) покрытия (единичного изделия) срок действия сертификата соответствия не устанавливается.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 Комплект документов, формируемый после сертификации оборудования и (или) покрытия, указанный в подпункте "е" пункта 59 настоящего технического регламента, должен храниться у заявителя и в органе по сертификации в течение следующих сроков: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оборудование и (или) покрытие, выпускаемые серийно, – не менее 10 лет со дня прекращения действия сертификата соответствия;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партию продукции (единичное изделие) – не менее 10 лет со дня реализации последнего изделия оборудования и (или) покрытия из партии продукции (единичного изделия).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Комплект документов предоставляется органам государственного контроля (надзора) по их требованию.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 При декларировании соответствия оборудования и (или) покрытия заявителем может быть: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для схем 1д и 3д – изготовитель (уполномоченное изготовителем лицо);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для схем 2д и 4д – изготовитель (уполномоченное изготовителем лицо) или продавец.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 Выбор схемы декларирования соответствия оборудования и (или) покрытия осуществляется заявителем.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 Декларирование соответствия оборудования и (или) покрытия по схемам 1д и 2д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(центром).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Декларирование соответствия оборудования и (или) покрытия по схемам 3д и 4д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 При декларировании соответствия оборудования и (или) покрытия заявитель: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 (для оборудования);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конструкторскую документацию (схемы 1д и 3д);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по которому произведено оборудование и (или) покрытие (схемы 1д и 3д);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прочностных расчетов;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(протоколы) испытаний образцов оборудования и (или) покрытия, проведенных в собственной испытательной лаборатории заявителя и (или) испытательной лабораторией (центром);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о подтверждении характеристик материалов и комплектующих изделий (при наличии);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сертификаты соответствия, декларации о соответствии или протоколы испытаний в отношении материалов и комплектующих изделий (при наличии);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стандартов, указанных в разделе VIII настоящего технического регламента, которые применялись при производстве (в случае их применения изготовителем);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контракт (договор на поставку) и товаросопроводительную документацию для партии продукции (единичного изделия) (схемы 2д и 4д);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 (при наличии);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проводит идентификацию оборудования и (или) покрытия в соответствии с разделом III настоящего технического регламента;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обеспечивает проведение производственного контроля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принимает декларацию о соответствии, которая оформляется по единой форме и правилам, утвержденным Решением Коллегии Евразийской экономической комиссии от 25 декабря 2012 г. № 293;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наносит единый знак обращения продукции на рынке Союза после завершения процедуры декларирования соответствия;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формирует после завершения процедуры декларирования соответствия оборудования и (или) покрытия комплект документов, который включает в себя документы, предусмотренные подпунктом "а" настоящего пункта, и декларацию о соответствии.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 Декларация о соответствии подлежит регистрации в порядке, установленном Решением Коллегии Евразийской экономической комиссии от 9 апреля 2013 г. № 76.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 Комплект документов, формируемый после декларирования соответствия оборудования и (или) покрытия, указанный в подпункте "e" пункта 67 настоящего технического регламента, должен храниться у заявителя в течение следующих сроков: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оборудование и (или) покрытие, выпускаемые серийно, – не менее 5 лет со дня прекращения действия декларации о соответствии;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партию продукции (единичное изделие) – не менее 5 лет со дня реализации последнего изделия оборудования и (или) покрытия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партии продукции (единичного изделия).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Комплект документов предоставляется органам государственного контроля (надзора) по их требованию.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 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 (или) покрытия (единичного изделия) срок действия декларации о соответствии не устанавливается.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(или) покрытия в форме оценки технического состояния (технического освидетельствования).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технического состояния (технического освидетельствования) устанавливается законодательством государств-членов.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Х. Маркировка оборудования и (или) покрытия единым знаком обращения продукции на рынке Союза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 Оборудование и (или) покрытие, соответствующие 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 рынке Союза.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 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 Единый знак обращения продукции на рынке Союза наносится на каждую единицу оборудования и (или)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упаковку и его указание в прилагаемом паспорте, если знак невозможно нанести непосредственно на оборудование и (или) покрытие.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 Маркировка оборудования и (или) покрытия единым знаком обращения продукции на рынке Союза свидетельствует о соответствии их требованиям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bookmarkEnd w:id="258"/>
    <w:bookmarkStart w:name="z26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ХI. Государственный контроль (надзор)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76. Государственный контроль (надзор) за соблюдением требований настоящего технического регламента проводится в соответствии с законодательством государств-членов. 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оборудования для детских игровых площадок"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042/2017) </w:t>
            </w:r>
          </w:p>
        </w:tc>
      </w:tr>
    </w:tbl>
    <w:bookmarkStart w:name="z26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на которую распространяются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регламента 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"О безопасности оборудования для детских игровых площадок" </w:t>
      </w:r>
      <w:r>
        <w:br/>
      </w:r>
      <w:r>
        <w:rPr>
          <w:rFonts w:ascii="Times New Roman"/>
          <w:b/>
          <w:i w:val="false"/>
          <w:color w:val="000000"/>
        </w:rPr>
        <w:t>(ТР ЕАЭС 042/2017)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331"/>
        <w:gridCol w:w="5571"/>
        <w:gridCol w:w="2149"/>
        <w:gridCol w:w="2161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оборудования, покрытия</w:t>
            </w:r>
          </w:p>
          <w:bookmarkEnd w:id="262"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вида оборудования, покрытия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оборудования,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Горка детской игровой площадки </w:t>
            </w:r>
          </w:p>
          <w:bookmarkEnd w:id="263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стоящая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пристраиваемая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горка-волна (волнообразная горка)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"на склоне" (горка на склоне холма, насыпи, берега)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спиральная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криволинейная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тоннельная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тоннельная 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с несколькими трассами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Качели детской игровой площадки</w:t>
            </w:r>
          </w:p>
          <w:bookmarkEnd w:id="264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детской игровой площадки, приводимое в движение ребенком, масса которого располагается ниже шарнира, относительно которого осуществляется качание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с одной осью 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с несколькими осями 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с одной точкой подвеса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коллективные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Качалка детской игровой площадки</w:t>
            </w:r>
          </w:p>
          <w:bookmarkEnd w:id="265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детской игровой площадки, которое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приводится в движение ребенком (детьми) и на котором осуществляется колебательное движение в различных плоскостях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качалка-балансир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 с одной опорой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 с одной опорой, обеспечивающая при качании движение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нескольких плоскостях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 с несколькими опорами, обеспечивающая при качании движение ребенка (детей) преимущественно в одной плоскости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 с несколькими опорами, обеспечивающая при качании движение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нескольких плоскостях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шатунная качалка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 с одной осью качания, расположенной на высоте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качалка с вращением вокруг центральной оси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Карусель детской игровой площадки</w:t>
            </w:r>
          </w:p>
          <w:bookmarkEnd w:id="266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детской игровой площадки с одним посадочным местом или более, вращающееся вокруг вертикальной оси, с углом наклона от вертикали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кресла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вращающаяся 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вращающийся гриб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 воздухе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по круговой колее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вращающийся диск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Канатная дорога детской игровой площадки</w:t>
            </w:r>
          </w:p>
          <w:bookmarkEnd w:id="267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детской игровой площадки, на котором ребенок катается под действием силы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канатная дорога: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подвесной рукояткой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сиденьем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Детский городок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(игровой комплекс),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элементы детских городков (игровых комплексов)</w:t>
            </w:r>
          </w:p>
          <w:bookmarkEnd w:id="268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детской игровой площадки, предназначенное для игры, физического развития, воспитания ловкости и смелости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городок (игровой комплекс)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элементы детских городков (игровых комплексов):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шведская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для лазания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гибкие элементы для лазания (лестница, сеть, паутина)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оборудование, в том числе песочница, игровой домик, лабиринт</w:t>
            </w:r>
          </w:p>
          <w:bookmarkEnd w:id="2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Ударопоглощающее покрытие</w:t>
            </w:r>
          </w:p>
          <w:bookmarkEnd w:id="270"/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 детской игровой площадки, обладающее амортизационными свойствами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гравийное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дерновое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из дробленой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резиновое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синтетическое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оборудования для детских игровых площадок"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042/2017) </w:t>
            </w:r>
          </w:p>
        </w:tc>
      </w:tr>
    </w:tbl>
    <w:bookmarkStart w:name="z29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к гигиенической безопасности материалов, применяемых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производстве оборудования и покрытия для детских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игровых площадок  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Интенсивность запаха материалов, применяемых при производстве оборудования и покрытия для детских игровых площадок (далее – материалы), не должна превышать 2 баллов.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 в условиях эксплуатации не должен превышать 15,0 кВ/м.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Материалы не должны стимулировать рост и развитие микрофлоры, в том числе патогенной.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Удельная эффективная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древесносодержащих материалах не должна превышать 300 Бк/кг.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Защитно-декоративное покрытие оборудования и покрытий должно быть стойким к влажной обработке, оборудования – к действию слюны, пота и влаги.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Оборудование не должно оказывать местное кожно-раздражающее действие, или индекс токсичности оборудования, определяемый в водной среде (дистиллированная среда), должен быть в пределах от 70 до 120 % включительно, в воздушной среде – от 80 до 120 % включительно.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Материалы не должны выделять в окружающую среду летучие вещества в количествах, которые могут оказывать прямое или косвенное неблагоприятное действие на организм человека (с учетом совместного действия всех выделяющихся веществ).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проводится по общим требованиям к классификации опасной химической продукции в соответствии с законодательством государств – членов Евразийского экономического союза), а выделение остальных веществ не должно превышать гигиенические нормативы, указанные в таблице (при выделении из материалов нескольких химических веществ, обладающих суммацией действия, сумма отношений концентраций к их предельно допустимым концентрациям не должна превышать 1).</w:t>
      </w:r>
    </w:p>
    <w:bookmarkEnd w:id="279"/>
    <w:bookmarkStart w:name="z30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выделения вредных веществ из материалов, применяемых при производстве оборудования и покрытия для детских игровых площадок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1946"/>
        <w:gridCol w:w="2920"/>
        <w:gridCol w:w="2921"/>
      </w:tblGrid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 (вещества)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миграции в воздушную среду,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миграции в водную среду,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Полимерные и полимерсодержащие материалы</w:t>
            </w:r>
          </w:p>
          <w:bookmarkEnd w:id="283"/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Поливинилхлорид пластифицированный (суспензионный и эмульсионный) </w:t>
            </w:r>
          </w:p>
          <w:bookmarkEnd w:id="28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водород*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Фенолформальдегидные, меламинформальдегидные смолы</w:t>
            </w:r>
          </w:p>
          <w:bookmarkEnd w:id="28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фенол**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фенолов**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Карбамидные смолы</w:t>
            </w:r>
          </w:p>
          <w:bookmarkEnd w:id="28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Синтетические каучуки на основе бутадиена и сополимеров бутадиена с акрилонитрилом и стиролом</w:t>
            </w:r>
          </w:p>
          <w:bookmarkEnd w:id="28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цианистый*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(смесь изомеров)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Полистирольные пластики</w:t>
            </w:r>
          </w:p>
          <w:bookmarkEnd w:id="288"/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(блочный, суспензионный, ударопрочный), сополимер стирола с акрилонитрилом, АБС-пластики</w:t>
            </w:r>
          </w:p>
          <w:bookmarkEnd w:id="28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сополимер стирола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метакрилатом</w:t>
            </w:r>
          </w:p>
          <w:bookmarkEnd w:id="29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сополимер стирола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бутадиеном</w:t>
            </w:r>
          </w:p>
          <w:bookmarkEnd w:id="29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вспененные полистиролы</w:t>
            </w:r>
          </w:p>
          <w:bookmarkEnd w:id="29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(смесь изомеров)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Полиуретаны</w:t>
            </w:r>
          </w:p>
          <w:bookmarkEnd w:id="293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цианистый*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изопропиловый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Эпоксидные смолы</w:t>
            </w:r>
          </w:p>
          <w:bookmarkEnd w:id="29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(смесь изомеров)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фенол**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фенолов**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эпихлоргидрин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Полиэфирные смолы</w:t>
            </w:r>
          </w:p>
          <w:bookmarkEnd w:id="29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фталевый ангидрид*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Полимерсодержащие материалы на основе винилового спирта и его производных</w:t>
            </w:r>
          </w:p>
          <w:bookmarkEnd w:id="29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Полимерсодержащие материалы на основе акриловой и метакриловой кислот</w:t>
            </w:r>
          </w:p>
          <w:bookmarkEnd w:id="29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Полимерсодержащие материалы на основе полиэтилена и полипропилена</w:t>
            </w:r>
          </w:p>
          <w:bookmarkEnd w:id="29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изопропиловый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Полиамид</w:t>
            </w:r>
          </w:p>
          <w:bookmarkEnd w:id="29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Полимерсодержащие материалы на минеральной основе</w:t>
            </w:r>
          </w:p>
          <w:bookmarkEnd w:id="30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фосфорный*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Полимерсодержащие материалы на основе целлюлозы</w:t>
            </w:r>
          </w:p>
          <w:bookmarkEnd w:id="30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фенол**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фенолов**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Резина</w:t>
            </w:r>
          </w:p>
          <w:bookmarkEnd w:id="302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фенол**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фенолов**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Древесина</w:t>
            </w:r>
          </w:p>
          <w:bookmarkEnd w:id="303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изобутиловый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изопропиловый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фенолов**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Текстильные материалы</w:t>
            </w:r>
          </w:p>
          <w:bookmarkEnd w:id="304"/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Натуральные из растительного сырья</w:t>
            </w:r>
          </w:p>
          <w:bookmarkEnd w:id="30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Искусственные вискозные и ацетатные</w:t>
            </w:r>
          </w:p>
          <w:bookmarkEnd w:id="30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Полиэфирные</w:t>
            </w:r>
          </w:p>
          <w:bookmarkEnd w:id="30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диметилтерефталат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Полиамидные</w:t>
            </w:r>
          </w:p>
          <w:bookmarkEnd w:id="30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Полиакрилонитрильные</w:t>
            </w:r>
          </w:p>
          <w:bookmarkEnd w:id="30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акрилонитрил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диметилформамид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Поливинилхлоридные</w:t>
            </w:r>
          </w:p>
          <w:bookmarkEnd w:id="310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фенолов**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4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Миграция химических веществ определяется только в воздушной среде.</w:t>
      </w:r>
    </w:p>
    <w:bookmarkEnd w:id="311"/>
    <w:bookmarkStart w:name="z4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Показатели являются взаимозаменяемыми. </w:t>
      </w:r>
    </w:p>
    <w:bookmarkEnd w:id="312"/>
    <w:bookmarkStart w:name="z4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Примечания: 1. Обязательной модельной средой при проведении санитарно-химических исследований является воздушная среда. </w:t>
      </w:r>
    </w:p>
    <w:bookmarkEnd w:id="313"/>
    <w:bookmarkStart w:name="z41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Из деталей оборудования, имеющих непосредственный контакт с кожей, миграция вредных химических веществ определяется только в водную модельную среду.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оборудования для детских игровых площадок"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042/2017) </w:t>
            </w:r>
          </w:p>
        </w:tc>
      </w:tr>
    </w:tbl>
    <w:bookmarkStart w:name="z41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подлежащей обязательному подтверждению соответствия требованиям технического регламента Евразийского экономического союза "О безопасности оборудования для детских игровых площадок" (ТР ЕАЭС 042/2017) в форме сертификации </w:t>
      </w:r>
    </w:p>
    <w:bookmarkEnd w:id="315"/>
    <w:bookmarkStart w:name="z4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Оборудование для детской игровой площадки:</w:t>
      </w:r>
    </w:p>
    <w:bookmarkEnd w:id="316"/>
    <w:bookmarkStart w:name="z4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горка детской игровой площадки;</w:t>
      </w:r>
    </w:p>
    <w:bookmarkEnd w:id="317"/>
    <w:bookmarkStart w:name="z4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качели детской игровой площадки;</w:t>
      </w:r>
    </w:p>
    <w:bookmarkEnd w:id="318"/>
    <w:bookmarkStart w:name="z4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качалка детской игровой площадки;</w:t>
      </w:r>
    </w:p>
    <w:bookmarkEnd w:id="319"/>
    <w:bookmarkStart w:name="z4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карусель детской игровой площадки;</w:t>
      </w:r>
    </w:p>
    <w:bookmarkEnd w:id="320"/>
    <w:bookmarkStart w:name="z4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канатная дорога детской игровой площадки;</w:t>
      </w:r>
    </w:p>
    <w:bookmarkEnd w:id="321"/>
    <w:bookmarkStart w:name="z4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детский городок (игровой комплекс).</w:t>
      </w:r>
    </w:p>
    <w:bookmarkEnd w:id="322"/>
    <w:bookmarkStart w:name="z4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Ударопоглощающее покрытие для детской игровой площадки:</w:t>
      </w:r>
    </w:p>
    <w:bookmarkEnd w:id="323"/>
    <w:bookmarkStart w:name="z4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покрытие резиновое;</w:t>
      </w:r>
    </w:p>
    <w:bookmarkEnd w:id="324"/>
    <w:bookmarkStart w:name="z4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покрытие синтетическое.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техническому регламенту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оборудования для детских игровых площадок"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 ЕАЭС 042/2017) </w:t>
            </w:r>
          </w:p>
        </w:tc>
      </w:tr>
    </w:tbl>
    <w:bookmarkStart w:name="z42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подлежащей обязательному подтверждению соответствия требованиям технического регламента Евразийского экономического союза "О безопасности оборудования для детских игровых площадок" (ТР ЕАЭС 042/2017) в форме декларирования соответствия </w:t>
      </w:r>
    </w:p>
    <w:bookmarkEnd w:id="326"/>
    <w:bookmarkStart w:name="z4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Игровое оборудование для детской игровой площадки, в том числе: </w:t>
      </w:r>
    </w:p>
    <w:bookmarkEnd w:id="327"/>
    <w:bookmarkStart w:name="z4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песочница; </w:t>
      </w:r>
    </w:p>
    <w:bookmarkEnd w:id="328"/>
    <w:bookmarkStart w:name="z43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игровой домик; </w:t>
      </w:r>
    </w:p>
    <w:bookmarkEnd w:id="329"/>
    <w:bookmarkStart w:name="z4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лабиринт. </w:t>
      </w:r>
    </w:p>
    <w:bookmarkEnd w:id="330"/>
    <w:bookmarkStart w:name="z4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Ударопоглощающее покрытие для детской игровой площадки: </w:t>
      </w:r>
    </w:p>
    <w:bookmarkEnd w:id="331"/>
    <w:bookmarkStart w:name="z4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покрытие песчаное; </w:t>
      </w:r>
    </w:p>
    <w:bookmarkEnd w:id="332"/>
    <w:bookmarkStart w:name="z4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покрытие гравийное; </w:t>
      </w:r>
    </w:p>
    <w:bookmarkEnd w:id="333"/>
    <w:bookmarkStart w:name="z4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покрытие дерновое; </w:t>
      </w:r>
    </w:p>
    <w:bookmarkEnd w:id="334"/>
    <w:bookmarkStart w:name="z4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покрытие из дробленой древесины. </w:t>
      </w:r>
    </w:p>
    <w:bookmarkEnd w:id="3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