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e337" w14:textId="2dfe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13 января 2017 г. № 8</w:t>
      </w:r>
    </w:p>
    <w:p>
      <w:pPr>
        <w:spacing w:after="0"/>
        <w:ind w:left="0"/>
        <w:jc w:val="both"/>
      </w:pPr>
      <w:r>
        <w:rPr>
          <w:rFonts w:ascii="Times New Roman"/>
          <w:b w:val="false"/>
          <w:i w:val="false"/>
          <w:color w:val="000000"/>
          <w:sz w:val="28"/>
        </w:rPr>
        <w:t>Решение Совета Евразийской экономической комиссии от 22 августа 2017 года № 53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решение вводится в действие с 02.07.2018.</w:t>
      </w:r>
    </w:p>
    <w:bookmarkStart w:name="z6"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7" w:id="1"/>
    <w:p>
      <w:pPr>
        <w:spacing w:after="0"/>
        <w:ind w:left="0"/>
        <w:jc w:val="both"/>
      </w:pPr>
      <w:r>
        <w:rPr>
          <w:rFonts w:ascii="Times New Roman"/>
          <w:b w:val="false"/>
          <w:i w:val="false"/>
          <w:color w:val="000000"/>
          <w:sz w:val="28"/>
        </w:rPr>
        <w:t xml:space="preserve">
      1. Внести в раздел I </w:t>
      </w:r>
      <w:r>
        <w:rPr>
          <w:rFonts w:ascii="Times New Roman"/>
          <w:b w:val="false"/>
          <w:i w:val="false"/>
          <w:color w:val="000000"/>
          <w:sz w:val="28"/>
        </w:rPr>
        <w:t>перечня</w:t>
      </w:r>
      <w:r>
        <w:rPr>
          <w:rFonts w:ascii="Times New Roman"/>
          <w:b w:val="false"/>
          <w:i w:val="false"/>
          <w:color w:val="000000"/>
          <w:sz w:val="28"/>
        </w:rPr>
        <w:t xml:space="preserve">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утвержденного Решением Совета Евразийской экономической комиссии от 13 января 2017 г. № 8, следующие изменения:</w:t>
      </w:r>
    </w:p>
    <w:bookmarkEnd w:id="1"/>
    <w:bookmarkStart w:name="z8" w:id="2"/>
    <w:p>
      <w:pPr>
        <w:spacing w:after="0"/>
        <w:ind w:left="0"/>
        <w:jc w:val="both"/>
      </w:pPr>
      <w:r>
        <w:rPr>
          <w:rFonts w:ascii="Times New Roman"/>
          <w:b w:val="false"/>
          <w:i w:val="false"/>
          <w:color w:val="000000"/>
          <w:sz w:val="28"/>
        </w:rPr>
        <w:t>
      после цифр "0705," дополнить цифрами "0706,";</w:t>
      </w:r>
    </w:p>
    <w:bookmarkEnd w:id="2"/>
    <w:bookmarkStart w:name="z9" w:id="3"/>
    <w:p>
      <w:pPr>
        <w:spacing w:after="0"/>
        <w:ind w:left="0"/>
        <w:jc w:val="both"/>
      </w:pPr>
      <w:r>
        <w:rPr>
          <w:rFonts w:ascii="Times New Roman"/>
          <w:b w:val="false"/>
          <w:i w:val="false"/>
          <w:color w:val="000000"/>
          <w:sz w:val="28"/>
        </w:rPr>
        <w:t>
      код ТН ВЭД ЕАЭС "20 (кроме 2001 10 000 0, 2009 50, 2009 71, 2009 79)" заменить кодом ТН ВЭД ЕАЭС "20 (кроме 2001 10 000 0, 2002, 2009 50, 2009 61, 2009 69, 2009 71, 2009 79)".</w:t>
      </w:r>
    </w:p>
    <w:bookmarkEnd w:id="3"/>
    <w:bookmarkStart w:name="z10" w:id="4"/>
    <w:p>
      <w:pPr>
        <w:spacing w:after="0"/>
        <w:ind w:left="0"/>
        <w:jc w:val="both"/>
      </w:pPr>
      <w:r>
        <w:rPr>
          <w:rFonts w:ascii="Times New Roman"/>
          <w:b w:val="false"/>
          <w:i w:val="false"/>
          <w:color w:val="000000"/>
          <w:sz w:val="28"/>
        </w:rPr>
        <w:t>
      2. Настоящее Решение вступает в силу с 2 июля 2018 г.</w:t>
      </w:r>
    </w:p>
    <w:bookmarkEnd w:id="4"/>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5"/>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r>
              <w:br/>
            </w: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r>
              <w:br/>
            </w: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r>
              <w:br/>
            </w: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