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271a" w14:textId="7702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критериях оценки инициатив в рамках реализации цифровой повестки Евразийского экономического союза в целях обеспечения их проработки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декабря 2017 года № 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проработки инициатив в рамках реализации цифровой повестки Евразийского экономического союза, утвержденного Решением Евразийского межправительственного совета от 25 октября 2017 г. № 4,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критерии оценки инициатив в рамках реализации цифровой повестки Евразийского экономического союза в целях обеспечения их проработки.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оценка соответствия инициативы в рамках реализации цифровой повестки Евразийского экономического союза критериям, утвержденным настоящим Решением, осуществляется на основе гибкого подхода исходя из потенциала этой инициативы и с учетом ее особенностей.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10 календарных дней с даты его официального опубликования.     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Габриелян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Т. Абдыгулов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Евразийской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2017 г. № 111  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</w:t>
      </w:r>
      <w:r>
        <w:br/>
      </w:r>
      <w:r>
        <w:rPr>
          <w:rFonts w:ascii="Times New Roman"/>
          <w:b/>
          <w:i w:val="false"/>
          <w:color w:val="000000"/>
        </w:rPr>
        <w:t xml:space="preserve">критериев оценки инициатив в рамках реализации цифровой повестки Евразийского экономического союза в целях обеспечения их проработки  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10067"/>
      </w:tblGrid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Полнота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достоверность и соответствие описания инициативы вопросам, указанным в форме;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заполнения формы</w:t>
            </w:r>
          </w:p>
          <w:bookmarkEnd w:id="6"/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Новизна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потенциал (новизна предлагаемой идеи, технологии, подходов, бизнес-процессов, возможность создания нового продукта, услуги, организационной модели и т.д.);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преимущество по сравнению с существующими аналогами в мире</w:t>
            </w:r>
          </w:p>
          <w:bookmarkEnd w:id="7"/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Производительность и эффективность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временных и ресурсных затрат при производстве товара (услуги)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Уменьшение расходов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издержек потребителей и иных заинтересованных сторон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Снижение рисков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рисков заинтересованных сторон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Доступность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доступности товаров (услуг) для групп заинтересованных сторон, которые ранее не имели к ним доступа или имели ограниченный доступ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Удобство и применимость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удобство использования товара (услуги); возможность применения в государствах – членах Евразийского экономического союза с учетом потенциала и текущей готовности их экономики 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Масштабируемость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эффективного функционирования в условиях увеличения нагрузки, появления новых продвинутых версий компонентов, а также расширения количества пользователей и географического охвата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Адаптируемость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эффективного и рационального использования для отличающихся задач, сред или условий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Универсальность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активов, которые могут использоваться без существенных модификаций в других процессах и отраслях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Обоснованная цена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по более низкой цене относительно существующих альтернатив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Интеграция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целей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года, в том числе устранение или несоздание препятствий на рынках Евразийского экономического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связанности цифровых инфраструктур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Устойчивое развитие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и охрана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макроэкономической и социальной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возможностей для будущего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противодействие коррупции;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деловой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вовлеченности граждан</w:t>
            </w:r>
          </w:p>
          <w:bookmarkEnd w:id="10"/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Безопасность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безопасности граждан, инфраструктуры и т.д.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