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8e2" w14:textId="3a93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приоритетных направлений сотрудничества государств-членов Евразийского экономического союза в целях ускорения технологической модернизации и повышения инновационной активности организаций государств-членов с учетом прикладных и фундаментальных исследований, проводимых государствами-членами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февраля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пунктом 22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концентрации научных, материальных и финансовых ресурсов для совместной реализации наиболее значимых направлений инновационного развития государств – членов Евразийского экономического союза (далее – государства-члены),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эффективного использования результатов прикладных и фундаментальных исследований, проводимых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взаимовыгодного сотрудничества государств-членов в целях повышения технологической модернизации и инновационной активности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использовать перечень приоритетных направлений сотрудничества государств – членов Евразийского экономического союза в целях ускорения технологической модернизации и повышения инновационной активности организаций государств-членов с учетом прикладных и фундаментальных исследований, проводимых государствами-членами,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2017 г. № 5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направлений сотрудничества государств–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Евразийского экономического союза в целях ускорения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технологической модернизации и повышения инновационной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активности организаций государств-членов с учетом прикладных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фундаментальных исследований, проводимых государствами-членами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развитых информационно-телекоммуникационных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 внедрение материалов со специальными свойствами (в первую очередь композиционных материалов, наноматериалов и высокочистых 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Переход от микроэлектроники к наноэлектронике и оптоэлектронике, квантовым компьютерам, разработка материалов, технологий и специального технологического оборудования для производства изделий для наноэлектроники, наносистемной и микросистемной техники, твердотельной электроники.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лазерных технологий (включая сферы обработки и модификации материалов, оптической информатики, связи, навигации и медицины).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физической электроники (в том числе разработка методов генерации, приема и преобразования электромагнитных волн с помощью твердотельных и вакуумных устройств, акустоэлектроника, релятивистская СВЧ-электроника больших мощностей, физика мощных пучков заряженных частиц).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в технологических процессах физики плазмы (включая физику высокотемпературной плазмы и управляемого термоядерного синтеза, физику астрофизической плазмы, физику низкотемпературной плазмы).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Развитие волнового машиностроения и волновых технологий (включая создание основы проектирования волновых машин и аппаратов, управление волновыми машинами и аппаратами, нелинейную волновую механику, биомеханические волновые процессы в системе «человек –  машина – среда»).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нового поколения противовирусных, антибактериальных и противогрибковых лекарственных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интегрированных инженерных программных платформ и развитие сред проектирования и управления жизненным циклом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Развитие систем числового программного управления для высокотехнологичных средств производства (станков, промышленных роботов и т. 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средств производства (в том числе продукции станкоинструментальной отрасли), соответствующих требованиям и технологическим стандартам «Индустрии 4.0».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Развитие ресурсо-энергосберегающих технологий, технологий возобновляемых источников энергии, электротехнических устройств с использованием технологий сверхпроводимости, применяемых при создании энергообъектов.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Разработка новых препаратов и методов лечения раковых заболеваний, в том числе с использованием стволовых клеток.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Развитие электротранспорта, включая создание производства и сети зарядных и сервисных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принципиально новых устройств и машин на основе многоконтурных рычажных механизмов высоких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Проектирование новых видов податливых механизмов и развитие методов анализа и синтеза податливых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Разработка и внедрение биотехнологий для здравоохранения, сельского хозяйства, охраны окружающей среды, пищевой и перерабатывающей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новых технологий получения штаммов-продуцентов биопрепаратов, в том числе ферментов, заквасок, биологически активных добавок, пробиотиков, пищевых (кормовых) добавок и аминокислот.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Развитие коллекции микроорганизмов, культур растительных и животных клеток, генетических и генно-инженерных материалов для сохранения биологического разнообразия и обеспечения ресурсной базы биотехнологий.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