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8c23d" w14:textId="a08c2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формировании подходов к согласованной экспортной политике государств – членов Евразийского экономического союза в отношении сельскохозяйственной продукции и продовольствия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Рекомендация Коллегии Евразийской экономической комиссии от 14 ноября 2017 года № 25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Коллегия Евразийской экономической комиссии в соответствии с пунктом 12 </w:t>
      </w:r>
      <w:r>
        <w:rPr>
          <w:rFonts w:ascii="Times New Roman"/>
          <w:b w:val="false"/>
          <w:i w:val="false"/>
          <w:color w:val="000000"/>
          <w:sz w:val="28"/>
        </w:rPr>
        <w:t>плана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мероприятий по реализации Концепции согласованной (скоординированной) агропромышленной политики государств – членов Таможенного союза и Единого экономического пространства, утвержденного Решением Высшего Евразийского экономического совета от 21 ноября 2014 г. № 94, на основании подпункта 10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95 Договора о Евразийском экономическом союзе от 29 мая 2014 года, учитывая экспортный потенциал сельскохозяйственной продукции и продовольствия государств – членов Евразийского экономического союза (далее – государства-члены), в целях координации сбытовой и маркетинговой политики на рынках третьих стран, оптимизации экспортных потоков, направленных на развитие и диверсификацию экспорта отдельных видов сельскохозяйственной продукции и продовольствия,     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рекомендует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государствам-членам с даты опубликования настоящей Рекомендации на официальном сайте Евразийского экономического союза: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Для формирования согласованной позиции при проведении переговоров с третьими странами о заключении соглашений о зоне свободной торговли учитывать обзоры условий доступа сельскохозяйственной продукции и продовольствия на рынки третьих стран, публикуемые на официальном сайте Евразийского экономического союза.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 оценке перспектив развития экспорта отдельных видов сельскохозяйственной продукции и продовольствия учитывать результаты анализа мирового агропродовольственного рынка и оценки влияния конъюнктуры данного рынка на развитие агропромышленного комплекса государств-членов, проводимого Евразийской экономической комиссией, публикуемые ежеквартально на официальном сайте Евразийского экономического союза.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Рассмотреть целесообразность выполнения согласованных действий по осуществлению экспортных поставок отдельных видов сельскохозяйственной продукции и продовольствия на рынки третьих стран, на которых государства-члены имеют значительный удельный вес в импорте данных стран, по перечню согласно приложению.  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Совершенствовать систему продвижения сельскохозяйственной продукции и продовольствия на рынки третьих стран путем осуществления следующих мероприятий:   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принятие на национальном уровне планов (программ) по развитию экспорта сельскохозяйственной продукции и продовольствия;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создание и обеспечение сотрудничества специализированных организаций, отвечающих за продвижение на экспорт сельскохозяйственной продукции и продовольствия;   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Коллегии  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Т. Саркисян 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Рекомендации Коллегии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Евразийской экономической комиссии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14 ноября 2017 г. № 25   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    </w:t>
      </w:r>
      <w:r>
        <w:br/>
      </w:r>
      <w:r>
        <w:rPr>
          <w:rFonts w:ascii="Times New Roman"/>
          <w:b/>
          <w:i w:val="false"/>
          <w:color w:val="000000"/>
        </w:rPr>
        <w:t xml:space="preserve">отдельных видов сельскохозяйственной продукции и продовольствия, при осуществлении экспортных поставок которых на рынки третьих стран государствам – членам </w:t>
      </w:r>
      <w:r>
        <w:br/>
      </w:r>
      <w:r>
        <w:rPr>
          <w:rFonts w:ascii="Times New Roman"/>
          <w:b/>
          <w:i w:val="false"/>
          <w:color w:val="000000"/>
        </w:rPr>
        <w:t xml:space="preserve">Евразийского экономического союза целесообразно выполнять согласованные действия   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31"/>
        <w:gridCol w:w="6995"/>
        <w:gridCol w:w="1474"/>
      </w:tblGrid>
      <w:tr>
        <w:trPr>
          <w:trHeight w:val="30" w:hRule="atLeast"/>
        </w:trPr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ТН ВЭД ЕАЭС</w:t>
            </w:r>
          </w:p>
          <w:bookmarkEnd w:id="9"/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позиции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Рынки сбыта</w:t>
            </w:r>
          </w:p>
        </w:tc>
      </w:tr>
      <w:tr>
        <w:trPr>
          <w:trHeight w:val="30" w:hRule="atLeast"/>
        </w:trPr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0206</w:t>
            </w:r>
          </w:p>
          <w:bookmarkEnd w:id="10"/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Пищевые субпродукты крупного рогатого скота, свиней, овец, коз, лошадей, ослов, мулов или лошаков, свежие, охлажденные или замороженные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Гонконг</w:t>
            </w:r>
          </w:p>
        </w:tc>
      </w:tr>
      <w:tr>
        <w:trPr>
          <w:trHeight w:val="30" w:hRule="atLeast"/>
        </w:trPr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0207</w:t>
            </w:r>
          </w:p>
          <w:bookmarkEnd w:id="11"/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 и пищевые субпродукты домашней птицы, указанной в товарной позиции 0105, свежие, охлажденные или замороженные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Вьетнам</w:t>
            </w:r>
          </w:p>
        </w:tc>
      </w:tr>
      <w:tr>
        <w:trPr>
          <w:trHeight w:val="30" w:hRule="atLeast"/>
        </w:trPr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0402</w:t>
            </w:r>
          </w:p>
          <w:bookmarkEnd w:id="12"/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и сливки, сгущенные или с добавлением сахара или других подслащивающих веществ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Азербайджан, Украина</w:t>
            </w:r>
          </w:p>
        </w:tc>
      </w:tr>
      <w:tr>
        <w:trPr>
          <w:trHeight w:val="30" w:hRule="atLeast"/>
        </w:trPr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</w:t>
            </w:r>
          </w:p>
          <w:bookmarkEnd w:id="13"/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Пшеница и меслин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Азербайджан, Иран, Турция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</w:t>
            </w:r>
          </w:p>
          <w:bookmarkEnd w:id="14"/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Ячмень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Иран, Саудовская Аравия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1204 00</w:t>
            </w:r>
          </w:p>
          <w:bookmarkEnd w:id="15"/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Семена льна, дробленые или недробленые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Германия, Турция</w:t>
            </w:r>
          </w:p>
        </w:tc>
      </w:tr>
      <w:tr>
        <w:trPr>
          <w:trHeight w:val="30" w:hRule="atLeast"/>
        </w:trPr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</w:t>
            </w:r>
          </w:p>
          <w:bookmarkEnd w:id="16"/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Кондитерские изделия из сахара (включая белый шоколад), не содержащие какао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Азербайджан, Монголия, Таджикистан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