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263d" w14:textId="56e2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взаимовыгодных направлений кооперационного сотрудничества государств – членов Евразийского экономического союза с учетом целесообразности финансирования соответствующих проектов Евразийским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3 марта 2017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 г. № 9, и пункта 9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 – членам Евразийского экономического союза с даты опубликования настоящей Рекомендации на официальном сайте Евразийского экономического союза осуществлять кооперационное сотрудничество в соответствии с взаимовыгодными направлениями по перечню согласно приложению.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г. № 2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взаимовыгодных направлений кооперационного сотрудничества государств – членов Евразийского экономического союза с учетом целесообразности финансирования соответствующих проектов Евразийским банком развития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Металлургическое производство и производств о готовых металлических изделий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Химическая промышленность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Производство бумаги, бумажной продукции и издательская деятельность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Обработка древесины и производство изделий из дерева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Производство машин и оборудования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Производство электрооборудования, электронного и оптического оборудования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Производство резиновых и пластмассовых изделий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 Легкая промышленность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