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4d9a" w14:textId="6514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предварительного решения о классификации товара, порядка ее заполнения и внесения изменений (дополнений) в такое предварительное решение</w:t>
      </w:r>
    </w:p>
    <w:p>
      <w:pPr>
        <w:spacing w:after="0"/>
        <w:ind w:left="0"/>
        <w:jc w:val="both"/>
      </w:pPr>
      <w:r>
        <w:rPr>
          <w:rFonts w:ascii="Times New Roman"/>
          <w:b w:val="false"/>
          <w:i w:val="false"/>
          <w:color w:val="000000"/>
          <w:sz w:val="28"/>
        </w:rPr>
        <w:t>Решение Коллегии Евразийской экономической комиссии от 17 апреля 2018 года № 58.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23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формы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 внесения изменений (дополнений) в такое предварительное решение. </w:t>
      </w:r>
    </w:p>
    <w:bookmarkStart w:name="z8" w:id="2"/>
    <w:p>
      <w:pPr>
        <w:spacing w:after="0"/>
        <w:ind w:left="0"/>
        <w:jc w:val="both"/>
      </w:pPr>
      <w:r>
        <w:rPr>
          <w:rFonts w:ascii="Times New Roman"/>
          <w:b w:val="false"/>
          <w:i w:val="false"/>
          <w:color w:val="000000"/>
          <w:sz w:val="28"/>
        </w:rPr>
        <w:t xml:space="preserve">
      2. Признать утратившими силу: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Решения Комиссии Таможенного союза от 20 мая 2010 г. № 260 "О формах таможенных документов";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изменений, вносимых в Решение Комиссии Таможенного союза от 20 мая 2010 г. № 260 (</w:t>
      </w:r>
      <w:r>
        <w:rPr>
          <w:rFonts w:ascii="Times New Roman"/>
          <w:b w:val="false"/>
          <w:i w:val="false"/>
          <w:color w:val="000000"/>
          <w:sz w:val="28"/>
        </w:rPr>
        <w:t>приложение</w:t>
      </w:r>
      <w:r>
        <w:rPr>
          <w:rFonts w:ascii="Times New Roman"/>
          <w:b w:val="false"/>
          <w:i w:val="false"/>
          <w:color w:val="000000"/>
          <w:sz w:val="28"/>
        </w:rPr>
        <w:t xml:space="preserve"> к Решению Коллегии Евразийской экономической комиссии от 11 июля 2017 г. № 84 "О внесении изменений в Решение Комиссии Таможенного союза от 20 мая 2010 г. № 260"). </w:t>
      </w:r>
    </w:p>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Решение вступает в силу по истечении 120 календарных дней с даты его официального опубликования.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Коллегии Евразийской экономической комиссии от 22.05.2018 </w:t>
      </w:r>
      <w:r>
        <w:rPr>
          <w:rFonts w:ascii="Times New Roman"/>
          <w:b w:val="false"/>
          <w:i w:val="false"/>
          <w:color w:val="000000"/>
          <w:sz w:val="28"/>
        </w:rPr>
        <w:t>№ 78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17 апреля 2018 г. № 58 </w:t>
            </w:r>
          </w:p>
        </w:tc>
      </w:tr>
    </w:tbl>
    <w:bookmarkStart w:name="z14" w:id="4"/>
    <w:p>
      <w:pPr>
        <w:spacing w:after="0"/>
        <w:ind w:left="0"/>
        <w:jc w:val="left"/>
      </w:pPr>
      <w:r>
        <w:rPr>
          <w:rFonts w:ascii="Times New Roman"/>
          <w:b/>
          <w:i w:val="false"/>
          <w:color w:val="000000"/>
        </w:rPr>
        <w:t xml:space="preserve"> ФОРМА </w:t>
      </w:r>
      <w:r>
        <w:br/>
      </w:r>
      <w:r>
        <w:rPr>
          <w:rFonts w:ascii="Times New Roman"/>
          <w:b/>
          <w:i w:val="false"/>
          <w:color w:val="000000"/>
        </w:rPr>
        <w:t xml:space="preserve">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6"/>
        <w:gridCol w:w="58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xml:space="preserve">
ПРЕДВАРИТЕЛЬНОЕ РЕШЕНИЕ </w:t>
            </w:r>
            <w:r>
              <w:br/>
            </w:r>
            <w:r>
              <w:rPr>
                <w:rFonts w:ascii="Times New Roman"/>
                <w:b w:val="false"/>
                <w:i w:val="false"/>
                <w:color w:val="000000"/>
                <w:sz w:val="20"/>
              </w:rPr>
              <w:t>о классификации товара в соответствии с единой Товарной номенклатурой внешнеэкономической деятельности Евразийского экономического союза</w:t>
            </w:r>
          </w:p>
          <w:bookmarkEnd w:id="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xml:space="preserve">
1. Регистрационный номер предварительного решения </w:t>
            </w:r>
          </w:p>
          <w:bookmarkEnd w:id="6"/>
        </w:tc>
      </w:tr>
      <w:tr>
        <w:trPr>
          <w:trHeight w:val="30" w:hRule="atLeast"/>
        </w:trPr>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xml:space="preserve">
2. Наименование таможенного органа, принявшего предварительное решение </w:t>
            </w:r>
          </w:p>
          <w:bookmarkEnd w:id="7"/>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Дата окончания срока действия предварительного решения </w:t>
            </w:r>
          </w:p>
        </w:tc>
      </w:tr>
      <w:tr>
        <w:trPr>
          <w:trHeight w:val="30" w:hRule="atLeast"/>
        </w:trPr>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4. Заявитель</w:t>
            </w:r>
          </w:p>
          <w:bookmarkEnd w:id="8"/>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6. Код товара в соответствии с ТН ВЭД ЕАЭС</w:t>
            </w:r>
          </w:p>
          <w:bookmarkEnd w:id="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7. Описание товара</w:t>
            </w:r>
          </w:p>
          <w:bookmarkEnd w:id="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xml:space="preserve">
8. Обоснование принятия предварительного решения </w:t>
            </w:r>
          </w:p>
          <w:bookmarkEnd w:id="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9. Для служебных отметок</w:t>
            </w:r>
            <w:r>
              <w:br/>
            </w:r>
            <w:r>
              <w:rPr>
                <w:rFonts w:ascii="Times New Roman"/>
                <w:b w:val="false"/>
                <w:i w:val="false"/>
                <w:color w:val="000000"/>
                <w:sz w:val="20"/>
              </w:rPr>
              <w:t>
</w:t>
            </w:r>
            <w:r>
              <w:rPr>
                <w:rFonts w:ascii="Times New Roman"/>
                <w:b w:val="false"/>
                <w:i w:val="false"/>
                <w:color w:val="000000"/>
                <w:sz w:val="20"/>
              </w:rPr>
              <w:t>9.1.</w:t>
            </w:r>
            <w:r>
              <w:br/>
            </w:r>
            <w:r>
              <w:rPr>
                <w:rFonts w:ascii="Times New Roman"/>
                <w:b w:val="false"/>
                <w:i w:val="false"/>
                <w:color w:val="000000"/>
                <w:sz w:val="20"/>
              </w:rPr>
              <w:t>
</w:t>
            </w: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9.3.</w:t>
            </w:r>
            <w:r>
              <w:br/>
            </w:r>
            <w:r>
              <w:rPr>
                <w:rFonts w:ascii="Times New Roman"/>
                <w:b w:val="false"/>
                <w:i w:val="false"/>
                <w:color w:val="000000"/>
                <w:sz w:val="20"/>
              </w:rPr>
              <w:t>
 </w:t>
            </w:r>
          </w:p>
          <w:bookmarkEnd w:id="1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xml:space="preserve">
10. Подпись должностного лица таможенного органа, печать таможенного органа </w:t>
            </w:r>
            <w:r>
              <w:br/>
            </w:r>
            <w:r>
              <w:rPr>
                <w:rFonts w:ascii="Times New Roman"/>
                <w:b w:val="false"/>
                <w:i w:val="false"/>
                <w:color w:val="000000"/>
                <w:sz w:val="20"/>
              </w:rPr>
              <w:t>
</w:t>
            </w:r>
            <w:r>
              <w:rPr>
                <w:rFonts w:ascii="Times New Roman"/>
                <w:b w:val="false"/>
                <w:i w:val="false"/>
                <w:color w:val="000000"/>
                <w:sz w:val="20"/>
              </w:rPr>
              <w:t xml:space="preserve">_____________             ________________________                              ____________________ </w:t>
            </w:r>
            <w:r>
              <w:br/>
            </w:r>
            <w:r>
              <w:rPr>
                <w:rFonts w:ascii="Times New Roman"/>
                <w:b w:val="false"/>
                <w:i w:val="false"/>
                <w:color w:val="000000"/>
                <w:sz w:val="20"/>
              </w:rPr>
              <w:t xml:space="preserve">
(должность)                                    (подпись)                                                   (инициалы, фамилия) </w:t>
            </w:r>
          </w:p>
          <w:bookmarkEnd w:id="1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17 апреля 2018 г. № 58 </w:t>
            </w:r>
          </w:p>
        </w:tc>
      </w:tr>
    </w:tbl>
    <w:bookmarkStart w:name="z29" w:id="14"/>
    <w:p>
      <w:pPr>
        <w:spacing w:after="0"/>
        <w:ind w:left="0"/>
        <w:jc w:val="left"/>
      </w:pPr>
      <w:r>
        <w:rPr>
          <w:rFonts w:ascii="Times New Roman"/>
          <w:b/>
          <w:i w:val="false"/>
          <w:color w:val="000000"/>
        </w:rPr>
        <w:t xml:space="preserve"> ПОРЯДОК </w:t>
      </w:r>
      <w:r>
        <w:br/>
      </w:r>
      <w:r>
        <w:rPr>
          <w:rFonts w:ascii="Times New Roman"/>
          <w:b/>
          <w:i w:val="false"/>
          <w:color w:val="000000"/>
        </w:rPr>
        <w:t>заполнения формы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 внесения изменений (дополнений)  в такое предварительное решение</w:t>
      </w:r>
    </w:p>
    <w:bookmarkEnd w:id="14"/>
    <w:bookmarkStart w:name="z30" w:id="15"/>
    <w:p>
      <w:pPr>
        <w:spacing w:after="0"/>
        <w:ind w:left="0"/>
        <w:jc w:val="left"/>
      </w:pPr>
      <w:r>
        <w:rPr>
          <w:rFonts w:ascii="Times New Roman"/>
          <w:b/>
          <w:i w:val="false"/>
          <w:color w:val="000000"/>
        </w:rPr>
        <w:t xml:space="preserve"> I. Общие положения </w:t>
      </w:r>
    </w:p>
    <w:bookmarkEnd w:id="15"/>
    <w:bookmarkStart w:name="z31" w:id="16"/>
    <w:p>
      <w:pPr>
        <w:spacing w:after="0"/>
        <w:ind w:left="0"/>
        <w:jc w:val="both"/>
      </w:pPr>
      <w:r>
        <w:rPr>
          <w:rFonts w:ascii="Times New Roman"/>
          <w:b w:val="false"/>
          <w:i w:val="false"/>
          <w:color w:val="000000"/>
          <w:sz w:val="28"/>
        </w:rPr>
        <w:t>
      1. Настоящий Порядок определяет правила заполнения формы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(далее – предварительное решение) в виде документа на бумажном носителе, утвержденной Решением Коллегии Евразийской экономической комиссии от 17 апреля 2018 г. № 58, и правила внесения изменений (дополнений) в такое предварительное решение.</w:t>
      </w:r>
    </w:p>
    <w:bookmarkEnd w:id="16"/>
    <w:bookmarkStart w:name="z32" w:id="17"/>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 Таможенного кодекса Евразийского экономического союза структура и формат предварительного решения в виде электронного документа устанавливаются в соответствии с законодательством государств – членов Евразийского экономического союза (далее – государства-члены), если принятие предварительного решения в виде электронного документа предусмотрено законодательством государств-членов.</w:t>
      </w:r>
    </w:p>
    <w:bookmarkEnd w:id="17"/>
    <w:bookmarkStart w:name="z33" w:id="18"/>
    <w:p>
      <w:pPr>
        <w:spacing w:after="0"/>
        <w:ind w:left="0"/>
        <w:jc w:val="both"/>
      </w:pPr>
      <w:r>
        <w:rPr>
          <w:rFonts w:ascii="Times New Roman"/>
          <w:b w:val="false"/>
          <w:i w:val="false"/>
          <w:color w:val="000000"/>
          <w:sz w:val="28"/>
        </w:rPr>
        <w:t xml:space="preserve">
      3. При заполнении формы предварительного решения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государств-членов. </w:t>
      </w:r>
    </w:p>
    <w:bookmarkEnd w:id="18"/>
    <w:bookmarkStart w:name="z34" w:id="19"/>
    <w:p>
      <w:pPr>
        <w:spacing w:after="0"/>
        <w:ind w:left="0"/>
        <w:jc w:val="both"/>
      </w:pPr>
      <w:r>
        <w:rPr>
          <w:rFonts w:ascii="Times New Roman"/>
          <w:b w:val="false"/>
          <w:i w:val="false"/>
          <w:color w:val="000000"/>
          <w:sz w:val="28"/>
        </w:rPr>
        <w:t xml:space="preserve">
      4. Предварительное решение, включая дополнительный лист к нему, оформляется в печатном виде на листах бумаги формата А4 (210 х 297 мм) в 2 экземплярах, один из которых предназначен для таможенного органа государства-члена (далее – таможенный орган), принявшего предварительное решение, а другой – для лица, подавшего заявление о принятии предварительного решения (далее – заявитель). </w:t>
      </w:r>
    </w:p>
    <w:bookmarkEnd w:id="19"/>
    <w:bookmarkStart w:name="z35" w:id="20"/>
    <w:p>
      <w:pPr>
        <w:spacing w:after="0"/>
        <w:ind w:left="0"/>
        <w:jc w:val="both"/>
      </w:pPr>
      <w:r>
        <w:rPr>
          <w:rFonts w:ascii="Times New Roman"/>
          <w:b w:val="false"/>
          <w:i w:val="false"/>
          <w:color w:val="000000"/>
          <w:sz w:val="28"/>
        </w:rPr>
        <w:t>
      5. Форма предварительного решения заполняется с использованием печатающих устройств (за исключением графы 10) и не должна содержать подчисток, помарок и исправлений.</w:t>
      </w:r>
    </w:p>
    <w:bookmarkEnd w:id="20"/>
    <w:bookmarkStart w:name="z36" w:id="21"/>
    <w:p>
      <w:pPr>
        <w:spacing w:after="0"/>
        <w:ind w:left="0"/>
        <w:jc w:val="both"/>
      </w:pPr>
      <w:r>
        <w:rPr>
          <w:rFonts w:ascii="Times New Roman"/>
          <w:b w:val="false"/>
          <w:i w:val="false"/>
          <w:color w:val="000000"/>
          <w:sz w:val="28"/>
        </w:rPr>
        <w:t>
      6. Форма предварительного решения заполняется на русском языке или на государственном языке государства-члена, таможенный орган которого принимает такое предварительное решение.</w:t>
      </w:r>
    </w:p>
    <w:bookmarkEnd w:id="21"/>
    <w:bookmarkStart w:name="z37" w:id="22"/>
    <w:p>
      <w:pPr>
        <w:spacing w:after="0"/>
        <w:ind w:left="0"/>
        <w:jc w:val="both"/>
      </w:pPr>
      <w:r>
        <w:rPr>
          <w:rFonts w:ascii="Times New Roman"/>
          <w:b w:val="false"/>
          <w:i w:val="false"/>
          <w:color w:val="000000"/>
          <w:sz w:val="28"/>
        </w:rPr>
        <w:t>
      Если в приложенных к заявлению о принятии предварительного решения документах встречается написание наименований иностранных лиц, товаров и т. д. с использованием букв латинского алфавита, такие сведения указываются в форме предварительного решения буквами латинского алфавита.</w:t>
      </w:r>
    </w:p>
    <w:bookmarkEnd w:id="22"/>
    <w:bookmarkStart w:name="z38" w:id="23"/>
    <w:p>
      <w:pPr>
        <w:spacing w:after="0"/>
        <w:ind w:left="0"/>
        <w:jc w:val="both"/>
      </w:pPr>
      <w:r>
        <w:rPr>
          <w:rFonts w:ascii="Times New Roman"/>
          <w:b w:val="false"/>
          <w:i w:val="false"/>
          <w:color w:val="000000"/>
          <w:sz w:val="28"/>
        </w:rPr>
        <w:t>
      7. В случае если при заполнении формы предварительного решения в графах недостаточно места для указания сведений, такие сведения указываются на дополнительно прикладываемых к такому предварительному решению листах формата A4, которые являются неотъемлемой частью такого предварительного решения (далее – дополнение). При этом в соответствующей графе формы предварительного решения производится запись "См. дополнение". Все листы дополнения должны быть пронумерованы.</w:t>
      </w:r>
    </w:p>
    <w:bookmarkEnd w:id="23"/>
    <w:bookmarkStart w:name="z39" w:id="24"/>
    <w:p>
      <w:pPr>
        <w:spacing w:after="0"/>
        <w:ind w:left="0"/>
        <w:jc w:val="both"/>
      </w:pPr>
      <w:r>
        <w:rPr>
          <w:rFonts w:ascii="Times New Roman"/>
          <w:b w:val="false"/>
          <w:i w:val="false"/>
          <w:color w:val="000000"/>
          <w:sz w:val="28"/>
        </w:rPr>
        <w:t>
      На каждом листе дополнения указываются:</w:t>
      </w:r>
    </w:p>
    <w:bookmarkEnd w:id="24"/>
    <w:bookmarkStart w:name="z40" w:id="25"/>
    <w:p>
      <w:pPr>
        <w:spacing w:after="0"/>
        <w:ind w:left="0"/>
        <w:jc w:val="both"/>
      </w:pPr>
      <w:r>
        <w:rPr>
          <w:rFonts w:ascii="Times New Roman"/>
          <w:b w:val="false"/>
          <w:i w:val="false"/>
          <w:color w:val="000000"/>
          <w:sz w:val="28"/>
        </w:rPr>
        <w:t xml:space="preserve">
      в правом верхнем углу – "Дополнение к предварительному решению № __________________________ на ___ л."; </w:t>
      </w:r>
    </w:p>
    <w:bookmarkEnd w:id="25"/>
    <w:bookmarkStart w:name="z41" w:id="26"/>
    <w:p>
      <w:pPr>
        <w:spacing w:after="0"/>
        <w:ind w:left="0"/>
        <w:jc w:val="both"/>
      </w:pPr>
      <w:r>
        <w:rPr>
          <w:rFonts w:ascii="Times New Roman"/>
          <w:b w:val="false"/>
          <w:i w:val="false"/>
          <w:color w:val="000000"/>
          <w:sz w:val="28"/>
        </w:rPr>
        <w:t>
      номер графы формы предварительного решения и сведения, для которых недостаточно места в графе формы предварительного решения.</w:t>
      </w:r>
    </w:p>
    <w:bookmarkEnd w:id="26"/>
    <w:bookmarkStart w:name="z42" w:id="27"/>
    <w:p>
      <w:pPr>
        <w:spacing w:after="0"/>
        <w:ind w:left="0"/>
        <w:jc w:val="both"/>
      </w:pPr>
      <w:r>
        <w:rPr>
          <w:rFonts w:ascii="Times New Roman"/>
          <w:b w:val="false"/>
          <w:i w:val="false"/>
          <w:color w:val="000000"/>
          <w:sz w:val="28"/>
        </w:rPr>
        <w:t>
      Таможенный орган в целях идентификации товара, указанного в предварительном решении, в случае необходимости может разместить на дополнительном листе дополнительную информацию о товаре (например, чертеж, схему, фотографическое изображение товара).</w:t>
      </w:r>
    </w:p>
    <w:bookmarkEnd w:id="27"/>
    <w:bookmarkStart w:name="z43" w:id="28"/>
    <w:p>
      <w:pPr>
        <w:spacing w:after="0"/>
        <w:ind w:left="0"/>
        <w:jc w:val="both"/>
      </w:pPr>
      <w:r>
        <w:rPr>
          <w:rFonts w:ascii="Times New Roman"/>
          <w:b w:val="false"/>
          <w:i w:val="false"/>
          <w:color w:val="000000"/>
          <w:sz w:val="28"/>
        </w:rPr>
        <w:t xml:space="preserve">
      Каждый лист дополнения в правом нижнем углу заверяется подписью руководителя (заместителя руководителя) или иного должностного лица таможенного органа, принявшего предварительное решение, уполномоченного на это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82 Таможенного кодекса Евразийского экономического союза (далее – уполномоченное лицо таможенного органа), а также, если это предусмотрено законодательством государств-членов, оттиском печати этого таможенного органа.</w:t>
      </w:r>
    </w:p>
    <w:bookmarkEnd w:id="28"/>
    <w:bookmarkStart w:name="z44" w:id="29"/>
    <w:p>
      <w:pPr>
        <w:spacing w:after="0"/>
        <w:ind w:left="0"/>
        <w:jc w:val="left"/>
      </w:pPr>
      <w:r>
        <w:rPr>
          <w:rFonts w:ascii="Times New Roman"/>
          <w:b/>
          <w:i w:val="false"/>
          <w:color w:val="000000"/>
        </w:rPr>
        <w:t xml:space="preserve"> II. Заполнение формы предварительного решения </w:t>
      </w:r>
    </w:p>
    <w:bookmarkEnd w:id="29"/>
    <w:bookmarkStart w:name="z45" w:id="30"/>
    <w:p>
      <w:pPr>
        <w:spacing w:after="0"/>
        <w:ind w:left="0"/>
        <w:jc w:val="both"/>
      </w:pPr>
      <w:r>
        <w:rPr>
          <w:rFonts w:ascii="Times New Roman"/>
          <w:b w:val="false"/>
          <w:i w:val="false"/>
          <w:color w:val="000000"/>
          <w:sz w:val="28"/>
        </w:rPr>
        <w:t>
      8. Графа 1 "Регистрационный номер предварительного решения" заполняется в следующем порядке.</w:t>
      </w:r>
    </w:p>
    <w:bookmarkEnd w:id="30"/>
    <w:bookmarkStart w:name="z46" w:id="31"/>
    <w:p>
      <w:pPr>
        <w:spacing w:after="0"/>
        <w:ind w:left="0"/>
        <w:jc w:val="both"/>
      </w:pPr>
      <w:r>
        <w:rPr>
          <w:rFonts w:ascii="Times New Roman"/>
          <w:b w:val="false"/>
          <w:i w:val="false"/>
          <w:color w:val="000000"/>
          <w:sz w:val="28"/>
        </w:rPr>
        <w:t>
      В графе указывается регистрационный номер предварительного решения, сформированный по следующей схеме: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где:</w:t>
      </w:r>
    </w:p>
    <w:bookmarkEnd w:id="32"/>
    <w:bookmarkStart w:name="z49" w:id="33"/>
    <w:p>
      <w:pPr>
        <w:spacing w:after="0"/>
        <w:ind w:left="0"/>
        <w:jc w:val="both"/>
      </w:pPr>
      <w:r>
        <w:rPr>
          <w:rFonts w:ascii="Times New Roman"/>
          <w:b w:val="false"/>
          <w:i w:val="false"/>
          <w:color w:val="000000"/>
          <w:sz w:val="28"/>
        </w:rPr>
        <w:t>
      элемент 1 – код государства-члена, таможенным органом которого принимается предварительное решение, в соответствии с классификатором стран мира;</w:t>
      </w:r>
    </w:p>
    <w:bookmarkEnd w:id="33"/>
    <w:bookmarkStart w:name="z50" w:id="34"/>
    <w:p>
      <w:pPr>
        <w:spacing w:after="0"/>
        <w:ind w:left="0"/>
        <w:jc w:val="both"/>
      </w:pPr>
      <w:r>
        <w:rPr>
          <w:rFonts w:ascii="Times New Roman"/>
          <w:b w:val="false"/>
          <w:i w:val="false"/>
          <w:color w:val="000000"/>
          <w:sz w:val="28"/>
        </w:rPr>
        <w:t>
      элемент 2 – код таможенного органа, принявшего предварительное решение, в соответствии с классификатором таможенных органов, применяемым в государстве-члене;</w:t>
      </w:r>
    </w:p>
    <w:bookmarkEnd w:id="34"/>
    <w:bookmarkStart w:name="z51" w:id="35"/>
    <w:p>
      <w:pPr>
        <w:spacing w:after="0"/>
        <w:ind w:left="0"/>
        <w:jc w:val="both"/>
      </w:pPr>
      <w:r>
        <w:rPr>
          <w:rFonts w:ascii="Times New Roman"/>
          <w:b w:val="false"/>
          <w:i w:val="false"/>
          <w:color w:val="000000"/>
          <w:sz w:val="28"/>
        </w:rPr>
        <w:t>
      элемент 3 – дата принятия предварительного решения в формате ДДММГГ (день, месяц, 2 последние цифры календарного года);</w:t>
      </w:r>
    </w:p>
    <w:bookmarkEnd w:id="35"/>
    <w:bookmarkStart w:name="z52" w:id="36"/>
    <w:p>
      <w:pPr>
        <w:spacing w:after="0"/>
        <w:ind w:left="0"/>
        <w:jc w:val="both"/>
      </w:pPr>
      <w:r>
        <w:rPr>
          <w:rFonts w:ascii="Times New Roman"/>
          <w:b w:val="false"/>
          <w:i w:val="false"/>
          <w:color w:val="000000"/>
          <w:sz w:val="28"/>
        </w:rPr>
        <w:t>
      элемент 4 – порядковый номер предварительного решения, присвоенный таможенным органом, принявшим такое предварительное решение (с учетом того, что сквозная нумерация в течение одного календарного года начинается с 0001);</w:t>
      </w:r>
    </w:p>
    <w:bookmarkEnd w:id="36"/>
    <w:bookmarkStart w:name="z53" w:id="37"/>
    <w:p>
      <w:pPr>
        <w:spacing w:after="0"/>
        <w:ind w:left="0"/>
        <w:jc w:val="both"/>
      </w:pPr>
      <w:r>
        <w:rPr>
          <w:rFonts w:ascii="Times New Roman"/>
          <w:b w:val="false"/>
          <w:i w:val="false"/>
          <w:color w:val="000000"/>
          <w:sz w:val="28"/>
        </w:rPr>
        <w:t>
      элемент 5 – номер "01".</w:t>
      </w:r>
    </w:p>
    <w:bookmarkEnd w:id="37"/>
    <w:bookmarkStart w:name="z54" w:id="38"/>
    <w:p>
      <w:pPr>
        <w:spacing w:after="0"/>
        <w:ind w:left="0"/>
        <w:jc w:val="both"/>
      </w:pPr>
      <w:r>
        <w:rPr>
          <w:rFonts w:ascii="Times New Roman"/>
          <w:b w:val="false"/>
          <w:i w:val="false"/>
          <w:color w:val="000000"/>
          <w:sz w:val="28"/>
        </w:rPr>
        <w:t>
      9. Графа 2 "Наименование таможенного органа, принявшего предварительное решение" заполняется в следующем порядке.</w:t>
      </w:r>
    </w:p>
    <w:bookmarkEnd w:id="38"/>
    <w:bookmarkStart w:name="z55" w:id="39"/>
    <w:p>
      <w:pPr>
        <w:spacing w:after="0"/>
        <w:ind w:left="0"/>
        <w:jc w:val="both"/>
      </w:pPr>
      <w:r>
        <w:rPr>
          <w:rFonts w:ascii="Times New Roman"/>
          <w:b w:val="false"/>
          <w:i w:val="false"/>
          <w:color w:val="000000"/>
          <w:sz w:val="28"/>
        </w:rPr>
        <w:t>
      В графе указывается полное наименование таможенного органа, принявшего предварительное решение.</w:t>
      </w:r>
    </w:p>
    <w:bookmarkEnd w:id="39"/>
    <w:bookmarkStart w:name="z56" w:id="40"/>
    <w:p>
      <w:pPr>
        <w:spacing w:after="0"/>
        <w:ind w:left="0"/>
        <w:jc w:val="both"/>
      </w:pPr>
      <w:r>
        <w:rPr>
          <w:rFonts w:ascii="Times New Roman"/>
          <w:b w:val="false"/>
          <w:i w:val="false"/>
          <w:color w:val="000000"/>
          <w:sz w:val="28"/>
        </w:rPr>
        <w:t>
      10. Графа 3 "Дата окончания срока действия предварительного решения" заполняется в следующем порядке.</w:t>
      </w:r>
    </w:p>
    <w:bookmarkEnd w:id="40"/>
    <w:bookmarkStart w:name="z57" w:id="41"/>
    <w:p>
      <w:pPr>
        <w:spacing w:after="0"/>
        <w:ind w:left="0"/>
        <w:jc w:val="both"/>
      </w:pPr>
      <w:r>
        <w:rPr>
          <w:rFonts w:ascii="Times New Roman"/>
          <w:b w:val="false"/>
          <w:i w:val="false"/>
          <w:color w:val="000000"/>
          <w:sz w:val="28"/>
        </w:rPr>
        <w:t>
      В графе указывается дата окончания срока действия предварительного решения в формате дд.мм.гггг (день, месяц, календарный год).</w:t>
      </w:r>
    </w:p>
    <w:bookmarkEnd w:id="41"/>
    <w:bookmarkStart w:name="z58" w:id="42"/>
    <w:p>
      <w:pPr>
        <w:spacing w:after="0"/>
        <w:ind w:left="0"/>
        <w:jc w:val="both"/>
      </w:pPr>
      <w:r>
        <w:rPr>
          <w:rFonts w:ascii="Times New Roman"/>
          <w:b w:val="false"/>
          <w:i w:val="false"/>
          <w:color w:val="000000"/>
          <w:sz w:val="28"/>
        </w:rPr>
        <w:t>
      11. Графа 4 "Заявитель" заполняется в следующем порядке.</w:t>
      </w:r>
    </w:p>
    <w:bookmarkEnd w:id="42"/>
    <w:bookmarkStart w:name="z59" w:id="43"/>
    <w:p>
      <w:pPr>
        <w:spacing w:after="0"/>
        <w:ind w:left="0"/>
        <w:jc w:val="both"/>
      </w:pPr>
      <w:r>
        <w:rPr>
          <w:rFonts w:ascii="Times New Roman"/>
          <w:b w:val="false"/>
          <w:i w:val="false"/>
          <w:color w:val="000000"/>
          <w:sz w:val="28"/>
        </w:rPr>
        <w:t>
      В графе указываются сведения о заявителе:</w:t>
      </w:r>
    </w:p>
    <w:bookmarkEnd w:id="43"/>
    <w:bookmarkStart w:name="z60" w:id="44"/>
    <w:p>
      <w:pPr>
        <w:spacing w:after="0"/>
        <w:ind w:left="0"/>
        <w:jc w:val="both"/>
      </w:pPr>
      <w:r>
        <w:rPr>
          <w:rFonts w:ascii="Times New Roman"/>
          <w:b w:val="false"/>
          <w:i w:val="false"/>
          <w:color w:val="000000"/>
          <w:sz w:val="28"/>
        </w:rPr>
        <w:t>
      для юридического лица и организации, не являющейся юридическим лицом, созданных в соответствии с законодательством государства-члена, – полное наименование, налоговый номер и адрес (место нахождения);</w:t>
      </w:r>
    </w:p>
    <w:bookmarkEnd w:id="44"/>
    <w:bookmarkStart w:name="z61" w:id="45"/>
    <w:p>
      <w:pPr>
        <w:spacing w:after="0"/>
        <w:ind w:left="0"/>
        <w:jc w:val="both"/>
      </w:pPr>
      <w:r>
        <w:rPr>
          <w:rFonts w:ascii="Times New Roman"/>
          <w:b w:val="false"/>
          <w:i w:val="false"/>
          <w:color w:val="000000"/>
          <w:sz w:val="28"/>
        </w:rPr>
        <w:t>
      для физического лица, зарегистрированного в качестве индивидуального предпринимателя в соответствии с законодательством государства-члена (далее – индивидуальный предприниматель), – фамилия, имя, отчество (при наличии), налоговый номер и адрес (место жительства);</w:t>
      </w:r>
    </w:p>
    <w:bookmarkEnd w:id="45"/>
    <w:bookmarkStart w:name="z62" w:id="46"/>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имеющего постоянное место жительства в государстве-члене, – фамилия, имя, отчество (при наличии), налоговый номер (кроме Республики Армения и Республики Беларусь) и адрес (место жительства);</w:t>
      </w:r>
    </w:p>
    <w:bookmarkEnd w:id="46"/>
    <w:bookmarkStart w:name="z63" w:id="47"/>
    <w:p>
      <w:pPr>
        <w:spacing w:after="0"/>
        <w:ind w:left="0"/>
        <w:jc w:val="both"/>
      </w:pPr>
      <w:r>
        <w:rPr>
          <w:rFonts w:ascii="Times New Roman"/>
          <w:b w:val="false"/>
          <w:i w:val="false"/>
          <w:color w:val="000000"/>
          <w:sz w:val="28"/>
        </w:rPr>
        <w:t>
      для иностранной организации – полное наименование и адрес (место нахождения);</w:t>
      </w:r>
    </w:p>
    <w:bookmarkEnd w:id="47"/>
    <w:bookmarkStart w:name="z64" w:id="48"/>
    <w:p>
      <w:pPr>
        <w:spacing w:after="0"/>
        <w:ind w:left="0"/>
        <w:jc w:val="both"/>
      </w:pPr>
      <w:r>
        <w:rPr>
          <w:rFonts w:ascii="Times New Roman"/>
          <w:b w:val="false"/>
          <w:i w:val="false"/>
          <w:color w:val="000000"/>
          <w:sz w:val="28"/>
        </w:rPr>
        <w:t>
      для иностранного физического лица – фамилия, имя, отчество (при наличии) и адрес (место жительства).</w:t>
      </w:r>
    </w:p>
    <w:bookmarkEnd w:id="48"/>
    <w:bookmarkStart w:name="z65" w:id="49"/>
    <w:p>
      <w:pPr>
        <w:spacing w:after="0"/>
        <w:ind w:left="0"/>
        <w:jc w:val="both"/>
      </w:pPr>
      <w:r>
        <w:rPr>
          <w:rFonts w:ascii="Times New Roman"/>
          <w:b w:val="false"/>
          <w:i w:val="false"/>
          <w:color w:val="000000"/>
          <w:sz w:val="28"/>
        </w:rPr>
        <w:t>
      Сведения об адресе заявителя указываются в соответствии с пунктом 18 настоящего Порядка.</w:t>
      </w:r>
    </w:p>
    <w:bookmarkEnd w:id="49"/>
    <w:bookmarkStart w:name="z66" w:id="50"/>
    <w:p>
      <w:pPr>
        <w:spacing w:after="0"/>
        <w:ind w:left="0"/>
        <w:jc w:val="both"/>
      </w:pPr>
      <w:r>
        <w:rPr>
          <w:rFonts w:ascii="Times New Roman"/>
          <w:b w:val="false"/>
          <w:i w:val="false"/>
          <w:color w:val="000000"/>
          <w:sz w:val="28"/>
        </w:rPr>
        <w:t>
      Сведения о налоговом номере заявителя указываются в соответствии с пунктом 19 настоящего Порядка.</w:t>
      </w:r>
    </w:p>
    <w:bookmarkEnd w:id="50"/>
    <w:bookmarkStart w:name="z67" w:id="51"/>
    <w:p>
      <w:pPr>
        <w:spacing w:after="0"/>
        <w:ind w:left="0"/>
        <w:jc w:val="both"/>
      </w:pPr>
      <w:r>
        <w:rPr>
          <w:rFonts w:ascii="Times New Roman"/>
          <w:b w:val="false"/>
          <w:i w:val="false"/>
          <w:color w:val="000000"/>
          <w:sz w:val="28"/>
        </w:rPr>
        <w:t>
      12. Графа 5 "Наименование товара" заполняется в следующем порядке.</w:t>
      </w:r>
    </w:p>
    <w:bookmarkEnd w:id="51"/>
    <w:bookmarkStart w:name="z68" w:id="52"/>
    <w:p>
      <w:pPr>
        <w:spacing w:after="0"/>
        <w:ind w:left="0"/>
        <w:jc w:val="both"/>
      </w:pPr>
      <w:r>
        <w:rPr>
          <w:rFonts w:ascii="Times New Roman"/>
          <w:b w:val="false"/>
          <w:i w:val="false"/>
          <w:color w:val="000000"/>
          <w:sz w:val="28"/>
        </w:rPr>
        <w:t>
      В графе указываются сведения о наименовании товара, включающие в себя определенную марку, модель, артикул и модификацию.</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07.09.2018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0" w:id="53"/>
    <w:p>
      <w:pPr>
        <w:spacing w:after="0"/>
        <w:ind w:left="0"/>
        <w:jc w:val="both"/>
      </w:pPr>
      <w:r>
        <w:rPr>
          <w:rFonts w:ascii="Times New Roman"/>
          <w:b w:val="false"/>
          <w:i w:val="false"/>
          <w:color w:val="000000"/>
          <w:sz w:val="28"/>
        </w:rPr>
        <w:t>
      13. Графа 6 "Код товара в соответствии с ТН ВЭД ЕАЭС" заполняется в следующем порядке.</w:t>
      </w:r>
    </w:p>
    <w:bookmarkEnd w:id="53"/>
    <w:p>
      <w:pPr>
        <w:spacing w:after="0"/>
        <w:ind w:left="0"/>
        <w:jc w:val="both"/>
      </w:pPr>
      <w:r>
        <w:rPr>
          <w:rFonts w:ascii="Times New Roman"/>
          <w:b w:val="false"/>
          <w:i w:val="false"/>
          <w:color w:val="000000"/>
          <w:sz w:val="28"/>
        </w:rPr>
        <w:t>
      В графе указывается 10-значный код товара в соответствии с единой Товарной номенклатурой внешнеэкономической деятельности Евразийского экономического союза (далее – ТН ВЭД ЕАЭС).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07.09.2018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 w:id="54"/>
    <w:p>
      <w:pPr>
        <w:spacing w:after="0"/>
        <w:ind w:left="0"/>
        <w:jc w:val="both"/>
      </w:pPr>
      <w:r>
        <w:rPr>
          <w:rFonts w:ascii="Times New Roman"/>
          <w:b w:val="false"/>
          <w:i w:val="false"/>
          <w:color w:val="000000"/>
          <w:sz w:val="28"/>
        </w:rPr>
        <w:t>
      14. Графа 7 "Описание товара" заполняется в следующем порядке.</w:t>
      </w:r>
    </w:p>
    <w:bookmarkEnd w:id="54"/>
    <w:bookmarkStart w:name="z73" w:id="55"/>
    <w:p>
      <w:pPr>
        <w:spacing w:after="0"/>
        <w:ind w:left="0"/>
        <w:jc w:val="both"/>
      </w:pPr>
      <w:r>
        <w:rPr>
          <w:rFonts w:ascii="Times New Roman"/>
          <w:b w:val="false"/>
          <w:i w:val="false"/>
          <w:color w:val="000000"/>
          <w:sz w:val="28"/>
        </w:rPr>
        <w:t xml:space="preserve">
      В графе приводится подробное описание товара с указанием всех сведений, необходимых для однозначной классификации и отнесения товара к 10-значному коду, указанному в графе 6 формы предварительного решения. </w:t>
      </w:r>
    </w:p>
    <w:bookmarkEnd w:id="55"/>
    <w:bookmarkStart w:name="z74" w:id="56"/>
    <w:p>
      <w:pPr>
        <w:spacing w:after="0"/>
        <w:ind w:left="0"/>
        <w:jc w:val="both"/>
      </w:pPr>
      <w:r>
        <w:rPr>
          <w:rFonts w:ascii="Times New Roman"/>
          <w:b w:val="false"/>
          <w:i w:val="false"/>
          <w:color w:val="000000"/>
          <w:sz w:val="28"/>
        </w:rPr>
        <w:t>
      При принятии предварительного решения в отношении товара, который будет перемещаться в несобранном или разобранном виде, в том числе в некомплектном или незавершенном виде, через таможенную границу Евразийского экономического союза в соответствии с таможенной процедурой таможенного транзита в течение определенного периода времени одним или несколькими транспортными средствами, в графе указываются компоненты этого товара, являющиеся его составными частями в комплектном или завершенном виде, если в заявлении о принятии предварительного решения была указана необходимость указания перечня компонентов товара в предварительном решении.</w:t>
      </w:r>
    </w:p>
    <w:bookmarkEnd w:id="56"/>
    <w:bookmarkStart w:name="z75" w:id="57"/>
    <w:p>
      <w:pPr>
        <w:spacing w:after="0"/>
        <w:ind w:left="0"/>
        <w:jc w:val="both"/>
      </w:pPr>
      <w:r>
        <w:rPr>
          <w:rFonts w:ascii="Times New Roman"/>
          <w:b w:val="false"/>
          <w:i w:val="false"/>
          <w:color w:val="000000"/>
          <w:sz w:val="28"/>
        </w:rPr>
        <w:t>
      При этом, если в перечень указанных компонентов вносятся изменения, соответствующие изменения вносятся в предварительное решение в соответствии с положениями раздела III настоящего Порядка.</w:t>
      </w:r>
    </w:p>
    <w:bookmarkEnd w:id="57"/>
    <w:bookmarkStart w:name="z76" w:id="58"/>
    <w:p>
      <w:pPr>
        <w:spacing w:after="0"/>
        <w:ind w:left="0"/>
        <w:jc w:val="both"/>
      </w:pPr>
      <w:r>
        <w:rPr>
          <w:rFonts w:ascii="Times New Roman"/>
          <w:b w:val="false"/>
          <w:i w:val="false"/>
          <w:color w:val="000000"/>
          <w:sz w:val="28"/>
        </w:rPr>
        <w:t>
      15. Графа 8 "Обоснование принятия предварительного решения" заполняется следующим образом.</w:t>
      </w:r>
    </w:p>
    <w:bookmarkEnd w:id="58"/>
    <w:bookmarkStart w:name="z77" w:id="59"/>
    <w:p>
      <w:pPr>
        <w:spacing w:after="0"/>
        <w:ind w:left="0"/>
        <w:jc w:val="both"/>
      </w:pPr>
      <w:r>
        <w:rPr>
          <w:rFonts w:ascii="Times New Roman"/>
          <w:b w:val="false"/>
          <w:i w:val="false"/>
          <w:color w:val="000000"/>
          <w:sz w:val="28"/>
        </w:rPr>
        <w:t>
      В графе указываются Основные правила интерпретации ТН ВЭД, примечания к разделам, группам, субпозициям ТН ВЭД ЕАЭС, на основании которых принималось предварительное решение.</w:t>
      </w:r>
    </w:p>
    <w:bookmarkEnd w:id="59"/>
    <w:bookmarkStart w:name="z78" w:id="60"/>
    <w:p>
      <w:pPr>
        <w:spacing w:after="0"/>
        <w:ind w:left="0"/>
        <w:jc w:val="both"/>
      </w:pPr>
      <w:r>
        <w:rPr>
          <w:rFonts w:ascii="Times New Roman"/>
          <w:b w:val="false"/>
          <w:i w:val="false"/>
          <w:color w:val="000000"/>
          <w:sz w:val="28"/>
        </w:rPr>
        <w:t>
      16. Графа 9 "Для служебных отметок" заполняется следующим образом.</w:t>
      </w:r>
    </w:p>
    <w:bookmarkEnd w:id="60"/>
    <w:bookmarkStart w:name="z79" w:id="61"/>
    <w:p>
      <w:pPr>
        <w:spacing w:after="0"/>
        <w:ind w:left="0"/>
        <w:jc w:val="both"/>
      </w:pPr>
      <w:r>
        <w:rPr>
          <w:rFonts w:ascii="Times New Roman"/>
          <w:b w:val="false"/>
          <w:i w:val="false"/>
          <w:color w:val="000000"/>
          <w:sz w:val="28"/>
        </w:rPr>
        <w:t>
      Под номером 9.1 указывается дополнительная информация для таможенных целей (при необходимости), которую должен принять во внимание таможенный орган при таможенном декларировании товара, в отношении которого принято предварительное решение (например, сведения о документах уполномоченных органов исполнительной власти государств-членов, производителей товара, подтверждающих отнесение товара к 10-значному коду, указанному в графе 6 формы предварительного решения).</w:t>
      </w:r>
    </w:p>
    <w:bookmarkEnd w:id="61"/>
    <w:bookmarkStart w:name="z80" w:id="62"/>
    <w:p>
      <w:pPr>
        <w:spacing w:after="0"/>
        <w:ind w:left="0"/>
        <w:jc w:val="both"/>
      </w:pPr>
      <w:r>
        <w:rPr>
          <w:rFonts w:ascii="Times New Roman"/>
          <w:b w:val="false"/>
          <w:i w:val="false"/>
          <w:color w:val="000000"/>
          <w:sz w:val="28"/>
        </w:rPr>
        <w:t xml:space="preserve">
      Под номером 9.2 в случае выдачи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23 Таможенного кодекса Евразийского экономического союза дубликата предварительного решения производится запись "Дубликат".</w:t>
      </w:r>
    </w:p>
    <w:bookmarkEnd w:id="62"/>
    <w:bookmarkStart w:name="z81" w:id="63"/>
    <w:p>
      <w:pPr>
        <w:spacing w:after="0"/>
        <w:ind w:left="0"/>
        <w:jc w:val="both"/>
      </w:pPr>
      <w:r>
        <w:rPr>
          <w:rFonts w:ascii="Times New Roman"/>
          <w:b w:val="false"/>
          <w:i w:val="false"/>
          <w:color w:val="000000"/>
          <w:sz w:val="28"/>
        </w:rPr>
        <w:t>
      17. Графа 10 "Подпись должностного лица таможенного органа, печать таможенного органа" заполняется в следующем порядке.</w:t>
      </w:r>
    </w:p>
    <w:bookmarkEnd w:id="63"/>
    <w:bookmarkStart w:name="z82" w:id="64"/>
    <w:p>
      <w:pPr>
        <w:spacing w:after="0"/>
        <w:ind w:left="0"/>
        <w:jc w:val="both"/>
      </w:pPr>
      <w:r>
        <w:rPr>
          <w:rFonts w:ascii="Times New Roman"/>
          <w:b w:val="false"/>
          <w:i w:val="false"/>
          <w:color w:val="000000"/>
          <w:sz w:val="28"/>
        </w:rPr>
        <w:t>
      В графе указываются должность, фамилия и инициалы уполномоченного лица таможенного органа.</w:t>
      </w:r>
    </w:p>
    <w:bookmarkEnd w:id="64"/>
    <w:bookmarkStart w:name="z83" w:id="65"/>
    <w:p>
      <w:pPr>
        <w:spacing w:after="0"/>
        <w:ind w:left="0"/>
        <w:jc w:val="both"/>
      </w:pPr>
      <w:r>
        <w:rPr>
          <w:rFonts w:ascii="Times New Roman"/>
          <w:b w:val="false"/>
          <w:i w:val="false"/>
          <w:color w:val="000000"/>
          <w:sz w:val="28"/>
        </w:rPr>
        <w:t>
      Сведения, указанные в форме предварительного решения, заверяются путем проставления в графе подписи должностного лица таможенного органа и, если это предусмотрено законодательством государства-члена, оттиска печати таможенного органа, принявшего такое предварительное решение.</w:t>
      </w:r>
    </w:p>
    <w:bookmarkEnd w:id="65"/>
    <w:bookmarkStart w:name="z84" w:id="66"/>
    <w:p>
      <w:pPr>
        <w:spacing w:after="0"/>
        <w:ind w:left="0"/>
        <w:jc w:val="both"/>
      </w:pPr>
      <w:r>
        <w:rPr>
          <w:rFonts w:ascii="Times New Roman"/>
          <w:b w:val="false"/>
          <w:i w:val="false"/>
          <w:color w:val="000000"/>
          <w:sz w:val="28"/>
        </w:rPr>
        <w:t>
      18. Сведения об адресе заявителя указываются через запятую в отдельной строке соответствующей графы формы предварительного решения и включают в себя:</w:t>
      </w:r>
    </w:p>
    <w:bookmarkEnd w:id="66"/>
    <w:bookmarkStart w:name="z85" w:id="67"/>
    <w:p>
      <w:pPr>
        <w:spacing w:after="0"/>
        <w:ind w:left="0"/>
        <w:jc w:val="both"/>
      </w:pPr>
      <w:r>
        <w:rPr>
          <w:rFonts w:ascii="Times New Roman"/>
          <w:b w:val="false"/>
          <w:i w:val="false"/>
          <w:color w:val="000000"/>
          <w:sz w:val="28"/>
        </w:rPr>
        <w:t>
      1) краткое название страны в соответствии с классификатором стран мира;</w:t>
      </w:r>
    </w:p>
    <w:bookmarkEnd w:id="67"/>
    <w:bookmarkStart w:name="z86" w:id="68"/>
    <w:p>
      <w:pPr>
        <w:spacing w:after="0"/>
        <w:ind w:left="0"/>
        <w:jc w:val="both"/>
      </w:pPr>
      <w:r>
        <w:rPr>
          <w:rFonts w:ascii="Times New Roman"/>
          <w:b w:val="false"/>
          <w:i w:val="false"/>
          <w:color w:val="000000"/>
          <w:sz w:val="28"/>
        </w:rPr>
        <w:t>
      2) административно-территориальную единицу (регион, область, район и т.п.);</w:t>
      </w:r>
    </w:p>
    <w:bookmarkEnd w:id="68"/>
    <w:bookmarkStart w:name="z87" w:id="69"/>
    <w:p>
      <w:pPr>
        <w:spacing w:after="0"/>
        <w:ind w:left="0"/>
        <w:jc w:val="both"/>
      </w:pPr>
      <w:r>
        <w:rPr>
          <w:rFonts w:ascii="Times New Roman"/>
          <w:b w:val="false"/>
          <w:i w:val="false"/>
          <w:color w:val="000000"/>
          <w:sz w:val="28"/>
        </w:rPr>
        <w:t>
      3) населенный пункт;</w:t>
      </w:r>
    </w:p>
    <w:bookmarkEnd w:id="69"/>
    <w:bookmarkStart w:name="z88" w:id="70"/>
    <w:p>
      <w:pPr>
        <w:spacing w:after="0"/>
        <w:ind w:left="0"/>
        <w:jc w:val="both"/>
      </w:pPr>
      <w:r>
        <w:rPr>
          <w:rFonts w:ascii="Times New Roman"/>
          <w:b w:val="false"/>
          <w:i w:val="false"/>
          <w:color w:val="000000"/>
          <w:sz w:val="28"/>
        </w:rPr>
        <w:t>
      4) улицу (бульвар, проспект и т.д.);</w:t>
      </w:r>
    </w:p>
    <w:bookmarkEnd w:id="70"/>
    <w:bookmarkStart w:name="z89" w:id="71"/>
    <w:p>
      <w:pPr>
        <w:spacing w:after="0"/>
        <w:ind w:left="0"/>
        <w:jc w:val="both"/>
      </w:pPr>
      <w:r>
        <w:rPr>
          <w:rFonts w:ascii="Times New Roman"/>
          <w:b w:val="false"/>
          <w:i w:val="false"/>
          <w:color w:val="000000"/>
          <w:sz w:val="28"/>
        </w:rPr>
        <w:t>
      5) номер дома;</w:t>
      </w:r>
    </w:p>
    <w:bookmarkEnd w:id="71"/>
    <w:bookmarkStart w:name="z90" w:id="72"/>
    <w:p>
      <w:pPr>
        <w:spacing w:after="0"/>
        <w:ind w:left="0"/>
        <w:jc w:val="both"/>
      </w:pPr>
      <w:r>
        <w:rPr>
          <w:rFonts w:ascii="Times New Roman"/>
          <w:b w:val="false"/>
          <w:i w:val="false"/>
          <w:color w:val="000000"/>
          <w:sz w:val="28"/>
        </w:rPr>
        <w:t>
      6) номер корпуса (строения);</w:t>
      </w:r>
    </w:p>
    <w:bookmarkEnd w:id="72"/>
    <w:bookmarkStart w:name="z91" w:id="73"/>
    <w:p>
      <w:pPr>
        <w:spacing w:after="0"/>
        <w:ind w:left="0"/>
        <w:jc w:val="both"/>
      </w:pPr>
      <w:r>
        <w:rPr>
          <w:rFonts w:ascii="Times New Roman"/>
          <w:b w:val="false"/>
          <w:i w:val="false"/>
          <w:color w:val="000000"/>
          <w:sz w:val="28"/>
        </w:rPr>
        <w:t>
      7) номер квартиры (комнаты, офиса).</w:t>
      </w:r>
    </w:p>
    <w:bookmarkEnd w:id="73"/>
    <w:bookmarkStart w:name="z92" w:id="74"/>
    <w:p>
      <w:pPr>
        <w:spacing w:after="0"/>
        <w:ind w:left="0"/>
        <w:jc w:val="both"/>
      </w:pPr>
      <w:r>
        <w:rPr>
          <w:rFonts w:ascii="Times New Roman"/>
          <w:b w:val="false"/>
          <w:i w:val="false"/>
          <w:color w:val="000000"/>
          <w:sz w:val="28"/>
        </w:rPr>
        <w:t>
      19. Под налоговым номером заявителя понимается:</w:t>
      </w:r>
    </w:p>
    <w:bookmarkEnd w:id="74"/>
    <w:bookmarkStart w:name="z93" w:id="75"/>
    <w:p>
      <w:pPr>
        <w:spacing w:after="0"/>
        <w:ind w:left="0"/>
        <w:jc w:val="both"/>
      </w:pPr>
      <w:r>
        <w:rPr>
          <w:rFonts w:ascii="Times New Roman"/>
          <w:b w:val="false"/>
          <w:i w:val="false"/>
          <w:color w:val="000000"/>
          <w:sz w:val="28"/>
        </w:rPr>
        <w:t>
      в Республике Армения – учетный номер налогоплательщика (УНН);</w:t>
      </w:r>
    </w:p>
    <w:bookmarkEnd w:id="75"/>
    <w:bookmarkStart w:name="z94" w:id="76"/>
    <w:p>
      <w:pPr>
        <w:spacing w:after="0"/>
        <w:ind w:left="0"/>
        <w:jc w:val="both"/>
      </w:pPr>
      <w:r>
        <w:rPr>
          <w:rFonts w:ascii="Times New Roman"/>
          <w:b w:val="false"/>
          <w:i w:val="false"/>
          <w:color w:val="000000"/>
          <w:sz w:val="28"/>
        </w:rPr>
        <w:t>
      в Республике Беларусь – учетный номер плательщика (УНП);</w:t>
      </w:r>
    </w:p>
    <w:bookmarkEnd w:id="76"/>
    <w:bookmarkStart w:name="z95" w:id="77"/>
    <w:p>
      <w:pPr>
        <w:spacing w:after="0"/>
        <w:ind w:left="0"/>
        <w:jc w:val="both"/>
      </w:pPr>
      <w:r>
        <w:rPr>
          <w:rFonts w:ascii="Times New Roman"/>
          <w:b w:val="false"/>
          <w:i w:val="false"/>
          <w:color w:val="000000"/>
          <w:sz w:val="28"/>
        </w:rPr>
        <w:t>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77"/>
    <w:bookmarkStart w:name="z96" w:id="78"/>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 для юридического лица или индивидуального предпринимателя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78"/>
    <w:bookmarkStart w:name="z97" w:id="79"/>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и для юридического лица – код причины постановки на учет (КПП), который указывается через знак разделителя "/" (для обособленного подразделения юридического лица проставляется КПП, присвоенный по месту нахождения обособленного подразделения).</w:t>
      </w:r>
    </w:p>
    <w:bookmarkEnd w:id="79"/>
    <w:bookmarkStart w:name="z98" w:id="80"/>
    <w:p>
      <w:pPr>
        <w:spacing w:after="0"/>
        <w:ind w:left="0"/>
        <w:jc w:val="left"/>
      </w:pPr>
      <w:r>
        <w:rPr>
          <w:rFonts w:ascii="Times New Roman"/>
          <w:b/>
          <w:i w:val="false"/>
          <w:color w:val="000000"/>
        </w:rPr>
        <w:t xml:space="preserve"> III. Внесение изменений (дополнений) в предварительное решение </w:t>
      </w:r>
    </w:p>
    <w:bookmarkEnd w:id="80"/>
    <w:bookmarkStart w:name="z99" w:id="81"/>
    <w:p>
      <w:pPr>
        <w:spacing w:after="0"/>
        <w:ind w:left="0"/>
        <w:jc w:val="both"/>
      </w:pPr>
      <w:r>
        <w:rPr>
          <w:rFonts w:ascii="Times New Roman"/>
          <w:b w:val="false"/>
          <w:i w:val="false"/>
          <w:color w:val="000000"/>
          <w:sz w:val="28"/>
        </w:rPr>
        <w:t>
      20. Изменения (дополнения) в предварительное решение вносятся по результатам таможенного контроля, проведенного таможенными органами, в том числе на основании мотивированного заявления, поданного в таможенный орган заявителем в виде электронного документа или документа на бумажном носителе (далее – заявление).</w:t>
      </w:r>
    </w:p>
    <w:bookmarkEnd w:id="81"/>
    <w:bookmarkStart w:name="z100" w:id="82"/>
    <w:p>
      <w:pPr>
        <w:spacing w:after="0"/>
        <w:ind w:left="0"/>
        <w:jc w:val="both"/>
      </w:pPr>
      <w:r>
        <w:rPr>
          <w:rFonts w:ascii="Times New Roman"/>
          <w:b w:val="false"/>
          <w:i w:val="false"/>
          <w:color w:val="000000"/>
          <w:sz w:val="28"/>
        </w:rPr>
        <w:t>
      21. Заявление подается в таможенный орган, которым принято предварительное решение, в которое предполагается внесение изменений (дополнений).</w:t>
      </w:r>
    </w:p>
    <w:bookmarkEnd w:id="82"/>
    <w:bookmarkStart w:name="z101" w:id="83"/>
    <w:p>
      <w:pPr>
        <w:spacing w:after="0"/>
        <w:ind w:left="0"/>
        <w:jc w:val="both"/>
      </w:pPr>
      <w:r>
        <w:rPr>
          <w:rFonts w:ascii="Times New Roman"/>
          <w:b w:val="false"/>
          <w:i w:val="false"/>
          <w:color w:val="000000"/>
          <w:sz w:val="28"/>
        </w:rPr>
        <w:t xml:space="preserve">
      Заявление составляется в произвольной форме. В заявлении указываются регистрационный номер предварительного решения, в которое предполагается внесение изменений (дополнений), перечень вносимых в него изменений (дополнений) и обоснование необходимости внесения таких изменений (дополнений) и адрес электронной почты заявителя (при его наличии). </w:t>
      </w:r>
    </w:p>
    <w:bookmarkEnd w:id="83"/>
    <w:bookmarkStart w:name="z102" w:id="84"/>
    <w:p>
      <w:pPr>
        <w:spacing w:after="0"/>
        <w:ind w:left="0"/>
        <w:jc w:val="both"/>
      </w:pPr>
      <w:r>
        <w:rPr>
          <w:rFonts w:ascii="Times New Roman"/>
          <w:b w:val="false"/>
          <w:i w:val="false"/>
          <w:color w:val="000000"/>
          <w:sz w:val="28"/>
        </w:rPr>
        <w:t>
      22. Подача заявления сопровождается представлением документов в виде электронных документов или документов на бумажном носителе, подтверждающих необходимость внесения изменений (дополнений) в предварительное решение. Допускается представление копий документов (в том числе бумажных копий электронных документов). Представленные копии документов должны быть заверены заявителем.</w:t>
      </w:r>
    </w:p>
    <w:bookmarkEnd w:id="84"/>
    <w:bookmarkStart w:name="z103" w:id="85"/>
    <w:p>
      <w:pPr>
        <w:spacing w:after="0"/>
        <w:ind w:left="0"/>
        <w:jc w:val="both"/>
      </w:pPr>
      <w:r>
        <w:rPr>
          <w:rFonts w:ascii="Times New Roman"/>
          <w:b w:val="false"/>
          <w:i w:val="false"/>
          <w:color w:val="000000"/>
          <w:sz w:val="28"/>
        </w:rPr>
        <w:t>
      В случае если изменения (дополнения) в предварительное решение вносятся в связи с выявлением опечаток, орфографических или грамматических ошибок, которые не влияют на сведения о коде товара в соответствии с ТН ВЭД ЕАЭС, документы, подтверждающие необходимость внесения изменений (дополнений) в предварительное решение, могут не представляться.</w:t>
      </w:r>
    </w:p>
    <w:bookmarkEnd w:id="85"/>
    <w:bookmarkStart w:name="z104" w:id="86"/>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представленных документах, составленных на языке, не являющемся государственным языком государства-члена, в таможенный орган которого подано заявление.</w:t>
      </w:r>
    </w:p>
    <w:bookmarkEnd w:id="86"/>
    <w:bookmarkStart w:name="z105" w:id="87"/>
    <w:p>
      <w:pPr>
        <w:spacing w:after="0"/>
        <w:ind w:left="0"/>
        <w:jc w:val="both"/>
      </w:pPr>
      <w:r>
        <w:rPr>
          <w:rFonts w:ascii="Times New Roman"/>
          <w:b w:val="false"/>
          <w:i w:val="false"/>
          <w:color w:val="000000"/>
          <w:sz w:val="28"/>
        </w:rPr>
        <w:t>
      23. При подаче заявления таможенный орган регистрирует его не позднее 1 рабочего дня, следующего за днем подачи заявления, в том числе с использованием информационной системы таможенного органа, либо в иной срок, установленный законодательством государства-члена.</w:t>
      </w:r>
    </w:p>
    <w:bookmarkEnd w:id="87"/>
    <w:bookmarkStart w:name="z106" w:id="88"/>
    <w:p>
      <w:pPr>
        <w:spacing w:after="0"/>
        <w:ind w:left="0"/>
        <w:jc w:val="both"/>
      </w:pPr>
      <w:r>
        <w:rPr>
          <w:rFonts w:ascii="Times New Roman"/>
          <w:b w:val="false"/>
          <w:i w:val="false"/>
          <w:color w:val="000000"/>
          <w:sz w:val="28"/>
        </w:rPr>
        <w:t xml:space="preserve">
      24. Таможенный орган, рассматривающий заявление и документы, представленные в соответствии с абзацем первым пункта 22 настоящего Порядка, проводит таможенный контроль в порядке, установленном </w:t>
      </w:r>
      <w:r>
        <w:rPr>
          <w:rFonts w:ascii="Times New Roman"/>
          <w:b w:val="false"/>
          <w:i w:val="false"/>
          <w:color w:val="000000"/>
          <w:sz w:val="28"/>
        </w:rPr>
        <w:t>статьей 326</w:t>
      </w:r>
      <w:r>
        <w:rPr>
          <w:rFonts w:ascii="Times New Roman"/>
          <w:b w:val="false"/>
          <w:i w:val="false"/>
          <w:color w:val="000000"/>
          <w:sz w:val="28"/>
        </w:rPr>
        <w:t xml:space="preserve"> Таможенного кодекса Евразийского экономического союза.</w:t>
      </w:r>
    </w:p>
    <w:bookmarkEnd w:id="88"/>
    <w:bookmarkStart w:name="z107" w:id="89"/>
    <w:p>
      <w:pPr>
        <w:spacing w:after="0"/>
        <w:ind w:left="0"/>
        <w:jc w:val="both"/>
      </w:pPr>
      <w:r>
        <w:rPr>
          <w:rFonts w:ascii="Times New Roman"/>
          <w:b w:val="false"/>
          <w:i w:val="false"/>
          <w:color w:val="000000"/>
          <w:sz w:val="28"/>
        </w:rPr>
        <w:t>
      25. В случае если представленных заявителем сведений недостаточно для внесения изменений (дополнений), таможенный орган для получения дополнительной информации не позднее 10 рабочих дней со дня регистрации заявления направляет заявителю соответствующий запрос. Такой запрос направляется в электронной или письменной форме.</w:t>
      </w:r>
    </w:p>
    <w:bookmarkEnd w:id="89"/>
    <w:bookmarkStart w:name="z108" w:id="90"/>
    <w:p>
      <w:pPr>
        <w:spacing w:after="0"/>
        <w:ind w:left="0"/>
        <w:jc w:val="both"/>
      </w:pPr>
      <w:r>
        <w:rPr>
          <w:rFonts w:ascii="Times New Roman"/>
          <w:b w:val="false"/>
          <w:i w:val="false"/>
          <w:color w:val="000000"/>
          <w:sz w:val="28"/>
        </w:rPr>
        <w:t>
      Указанный запрос в письменной форме направляется заказным почтовым отправлением с уведомлением о вручении или передается иным способом, позволяющим подтвердить факт его получения заявителем. При этом данный запрос в электронном виде одновременно направляется на адрес электронной почты заявителя (при его наличии), указанный в заявлении.</w:t>
      </w:r>
    </w:p>
    <w:bookmarkEnd w:id="90"/>
    <w:bookmarkStart w:name="z109" w:id="91"/>
    <w:p>
      <w:pPr>
        <w:spacing w:after="0"/>
        <w:ind w:left="0"/>
        <w:jc w:val="both"/>
      </w:pPr>
      <w:r>
        <w:rPr>
          <w:rFonts w:ascii="Times New Roman"/>
          <w:b w:val="false"/>
          <w:i w:val="false"/>
          <w:color w:val="000000"/>
          <w:sz w:val="28"/>
        </w:rPr>
        <w:t>
      Дополнительная информация представляется не позднее 30 рабочих дней со дня регистрации таможенным органом запроса.</w:t>
      </w:r>
    </w:p>
    <w:bookmarkEnd w:id="91"/>
    <w:bookmarkStart w:name="z110" w:id="92"/>
    <w:p>
      <w:pPr>
        <w:spacing w:after="0"/>
        <w:ind w:left="0"/>
        <w:jc w:val="both"/>
      </w:pPr>
      <w:r>
        <w:rPr>
          <w:rFonts w:ascii="Times New Roman"/>
          <w:b w:val="false"/>
          <w:i w:val="false"/>
          <w:color w:val="000000"/>
          <w:sz w:val="28"/>
        </w:rPr>
        <w:t>
      26. Таможенный орган отказывает заявителю во внесении изменений (дополнений) в предварительное решение при наличии одного из следующих оснований:</w:t>
      </w:r>
    </w:p>
    <w:bookmarkEnd w:id="92"/>
    <w:bookmarkStart w:name="z111" w:id="93"/>
    <w:p>
      <w:pPr>
        <w:spacing w:after="0"/>
        <w:ind w:left="0"/>
        <w:jc w:val="both"/>
      </w:pPr>
      <w:r>
        <w:rPr>
          <w:rFonts w:ascii="Times New Roman"/>
          <w:b w:val="false"/>
          <w:i w:val="false"/>
          <w:color w:val="000000"/>
          <w:sz w:val="28"/>
        </w:rPr>
        <w:t>
      а) не соблюдены положения пункта 34 настоящего Порядка;</w:t>
      </w:r>
    </w:p>
    <w:bookmarkEnd w:id="93"/>
    <w:bookmarkStart w:name="z112" w:id="94"/>
    <w:p>
      <w:pPr>
        <w:spacing w:after="0"/>
        <w:ind w:left="0"/>
        <w:jc w:val="both"/>
      </w:pPr>
      <w:r>
        <w:rPr>
          <w:rFonts w:ascii="Times New Roman"/>
          <w:b w:val="false"/>
          <w:i w:val="false"/>
          <w:color w:val="000000"/>
          <w:sz w:val="28"/>
        </w:rPr>
        <w:t>
      б) при проведении таможенного контроля таможенный орган выявил сведения, отличные от сведений, указанных в заявлении или в документах, представленных заявителем в соответствии с абзацем первым пункта 22 настоящего Порядка;</w:t>
      </w:r>
    </w:p>
    <w:bookmarkEnd w:id="94"/>
    <w:bookmarkStart w:name="z113" w:id="95"/>
    <w:p>
      <w:pPr>
        <w:spacing w:after="0"/>
        <w:ind w:left="0"/>
        <w:jc w:val="both"/>
      </w:pPr>
      <w:r>
        <w:rPr>
          <w:rFonts w:ascii="Times New Roman"/>
          <w:b w:val="false"/>
          <w:i w:val="false"/>
          <w:color w:val="000000"/>
          <w:sz w:val="28"/>
        </w:rPr>
        <w:t>
      в) не представлена в установленный срок дополнительная информация, запрошенная таможенным органом в соответствии с пунктом 25 настоящего Порядка, либо представленная дополнительная информация не содержит сведения, подтверждающие необходимость внесения изменений (дополнений).</w:t>
      </w:r>
    </w:p>
    <w:bookmarkEnd w:id="95"/>
    <w:bookmarkStart w:name="z114" w:id="96"/>
    <w:p>
      <w:pPr>
        <w:spacing w:after="0"/>
        <w:ind w:left="0"/>
        <w:jc w:val="both"/>
      </w:pPr>
      <w:r>
        <w:rPr>
          <w:rFonts w:ascii="Times New Roman"/>
          <w:b w:val="false"/>
          <w:i w:val="false"/>
          <w:color w:val="000000"/>
          <w:sz w:val="28"/>
        </w:rPr>
        <w:t>
      27. При наличии одного из оснований для отказа во внесении изменений (дополнений) в предварительное решение, предусмотренных пунктом 26 настоящего Порядка, таможенный орган не позднее срока, установленного пунктом 28 настоящего Порядка, направляет заявителю уведомление об отказе во внесении изменений (дополнений) в предварительное решение с указанием причин отказа. Такое уведомление направляется в электронной или письменной форме.</w:t>
      </w:r>
    </w:p>
    <w:bookmarkEnd w:id="96"/>
    <w:bookmarkStart w:name="z115" w:id="97"/>
    <w:p>
      <w:pPr>
        <w:spacing w:after="0"/>
        <w:ind w:left="0"/>
        <w:jc w:val="both"/>
      </w:pPr>
      <w:r>
        <w:rPr>
          <w:rFonts w:ascii="Times New Roman"/>
          <w:b w:val="false"/>
          <w:i w:val="false"/>
          <w:color w:val="000000"/>
          <w:sz w:val="28"/>
        </w:rPr>
        <w:t>
      Уведомление об отказе во внесении изменений (дополнений) в предварительное решение в письменной форме направляется заказным почтовым отправлением с уведомлением о вручении или передается иным способом, позволяющим подтвердить факт его получения заявителем. При этом данное уведомление в электронном виде одновременно направляется на адрес электронной почты заявителя (при его наличии), указанный в заявлении.</w:t>
      </w:r>
    </w:p>
    <w:bookmarkEnd w:id="97"/>
    <w:bookmarkStart w:name="z116" w:id="98"/>
    <w:p>
      <w:pPr>
        <w:spacing w:after="0"/>
        <w:ind w:left="0"/>
        <w:jc w:val="both"/>
      </w:pPr>
      <w:r>
        <w:rPr>
          <w:rFonts w:ascii="Times New Roman"/>
          <w:b w:val="false"/>
          <w:i w:val="false"/>
          <w:color w:val="000000"/>
          <w:sz w:val="28"/>
        </w:rPr>
        <w:t>
      28. При отсутствии оснований для отказа во внесении изменений (дополнений) в предварительное решение, предусмотренных пунктом 26 настоящего Порядка, таможенный орган не позднее 30 календарных дней со дня регистрации таможенным органом заявления принимает решение о внесении изменений (дополнений) в предварительное решение.</w:t>
      </w:r>
    </w:p>
    <w:bookmarkEnd w:id="98"/>
    <w:bookmarkStart w:name="z117" w:id="99"/>
    <w:p>
      <w:pPr>
        <w:spacing w:after="0"/>
        <w:ind w:left="0"/>
        <w:jc w:val="both"/>
      </w:pPr>
      <w:r>
        <w:rPr>
          <w:rFonts w:ascii="Times New Roman"/>
          <w:b w:val="false"/>
          <w:i w:val="false"/>
          <w:color w:val="000000"/>
          <w:sz w:val="28"/>
        </w:rPr>
        <w:t xml:space="preserve">
      В случае необходимости представления дополнительной информации в соответствии с пунктом 25 настоящего Порядка течение срока, указанного в абзаце первом настоящего пункта, приостанавливается со дня регистрации таможенным органом запроса и возобновляется со дня получения таможенным органом дополнительной информации, а в случае, если дополнительная информация не представлена в срок, указанный в абзаце третьем пункта 25 настоящего Порядка, – со дня истечения такого срока. </w:t>
      </w:r>
    </w:p>
    <w:bookmarkEnd w:id="99"/>
    <w:bookmarkStart w:name="z118" w:id="100"/>
    <w:p>
      <w:pPr>
        <w:spacing w:after="0"/>
        <w:ind w:left="0"/>
        <w:jc w:val="both"/>
      </w:pPr>
      <w:r>
        <w:rPr>
          <w:rFonts w:ascii="Times New Roman"/>
          <w:b w:val="false"/>
          <w:i w:val="false"/>
          <w:color w:val="000000"/>
          <w:sz w:val="28"/>
        </w:rPr>
        <w:t>
      29. В случае если изменения (дополнения) в предварительное решение вносятся по результатам таможенного контроля, проведенного таможенным органом не на основании заявления, а по собственной инициативе, таможенный орган не позднее 10 рабочих дней со дня регистрации таможенного документа, составленного по результатам таможенного контроля, принимает решение о внесении изменений (дополнений) в предварительное решение.</w:t>
      </w:r>
    </w:p>
    <w:bookmarkEnd w:id="100"/>
    <w:bookmarkStart w:name="z119" w:id="101"/>
    <w:p>
      <w:pPr>
        <w:spacing w:after="0"/>
        <w:ind w:left="0"/>
        <w:jc w:val="both"/>
      </w:pPr>
      <w:r>
        <w:rPr>
          <w:rFonts w:ascii="Times New Roman"/>
          <w:b w:val="false"/>
          <w:i w:val="false"/>
          <w:color w:val="000000"/>
          <w:sz w:val="28"/>
        </w:rPr>
        <w:t>
      30. Решение о внесении изменений (дополнений) в предварительное решение принимается путем принятия нового предварительного решения.</w:t>
      </w:r>
    </w:p>
    <w:bookmarkEnd w:id="101"/>
    <w:bookmarkStart w:name="z120" w:id="102"/>
    <w:p>
      <w:pPr>
        <w:spacing w:after="0"/>
        <w:ind w:left="0"/>
        <w:jc w:val="both"/>
      </w:pPr>
      <w:r>
        <w:rPr>
          <w:rFonts w:ascii="Times New Roman"/>
          <w:b w:val="false"/>
          <w:i w:val="false"/>
          <w:color w:val="000000"/>
          <w:sz w:val="28"/>
        </w:rPr>
        <w:t>
      При этом в соответствующие графы нового предварительного решения переносятся все сведения, ранее указанные в предварительном решении, с учетом вносимых изменений (дополнений).</w:t>
      </w:r>
    </w:p>
    <w:bookmarkEnd w:id="102"/>
    <w:bookmarkStart w:name="z121" w:id="103"/>
    <w:p>
      <w:pPr>
        <w:spacing w:after="0"/>
        <w:ind w:left="0"/>
        <w:jc w:val="both"/>
      </w:pPr>
      <w:r>
        <w:rPr>
          <w:rFonts w:ascii="Times New Roman"/>
          <w:b w:val="false"/>
          <w:i w:val="false"/>
          <w:color w:val="000000"/>
          <w:sz w:val="28"/>
        </w:rPr>
        <w:t>
      31. Новое предварительное решение принимается в виде документа на бумажном носителе или в виде электронного документа, если это предусмотрено законодательством государств-членов.</w:t>
      </w:r>
    </w:p>
    <w:bookmarkEnd w:id="103"/>
    <w:bookmarkStart w:name="z122" w:id="104"/>
    <w:p>
      <w:pPr>
        <w:spacing w:after="0"/>
        <w:ind w:left="0"/>
        <w:jc w:val="both"/>
      </w:pPr>
      <w:r>
        <w:rPr>
          <w:rFonts w:ascii="Times New Roman"/>
          <w:b w:val="false"/>
          <w:i w:val="false"/>
          <w:color w:val="000000"/>
          <w:sz w:val="28"/>
        </w:rPr>
        <w:t>
      32. При внесении изменений (дополнений) графы нового предварительного решения заполняются с учетом особенностей, установленных пунктом 33 настоящего Порядка.</w:t>
      </w:r>
    </w:p>
    <w:bookmarkEnd w:id="104"/>
    <w:bookmarkStart w:name="z123" w:id="105"/>
    <w:p>
      <w:pPr>
        <w:spacing w:after="0"/>
        <w:ind w:left="0"/>
        <w:jc w:val="both"/>
      </w:pPr>
      <w:r>
        <w:rPr>
          <w:rFonts w:ascii="Times New Roman"/>
          <w:b w:val="false"/>
          <w:i w:val="false"/>
          <w:color w:val="000000"/>
          <w:sz w:val="28"/>
        </w:rPr>
        <w:t>
      33. В новом предварительном решении указываются:</w:t>
      </w:r>
    </w:p>
    <w:bookmarkEnd w:id="105"/>
    <w:bookmarkStart w:name="z124" w:id="106"/>
    <w:p>
      <w:pPr>
        <w:spacing w:after="0"/>
        <w:ind w:left="0"/>
        <w:jc w:val="both"/>
      </w:pPr>
      <w:r>
        <w:rPr>
          <w:rFonts w:ascii="Times New Roman"/>
          <w:b w:val="false"/>
          <w:i w:val="false"/>
          <w:color w:val="000000"/>
          <w:sz w:val="28"/>
        </w:rPr>
        <w:t xml:space="preserve">
      в графе 1 – регистрационный номер нового предварительного решения, сформированный по следующей схеме: </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6" w:id="107"/>
    <w:p>
      <w:pPr>
        <w:spacing w:after="0"/>
        <w:ind w:left="0"/>
        <w:jc w:val="both"/>
      </w:pPr>
      <w:r>
        <w:rPr>
          <w:rFonts w:ascii="Times New Roman"/>
          <w:b w:val="false"/>
          <w:i w:val="false"/>
          <w:color w:val="000000"/>
          <w:sz w:val="28"/>
        </w:rPr>
        <w:t>
      где:</w:t>
      </w:r>
    </w:p>
    <w:bookmarkEnd w:id="107"/>
    <w:bookmarkStart w:name="z127" w:id="108"/>
    <w:p>
      <w:pPr>
        <w:spacing w:after="0"/>
        <w:ind w:left="0"/>
        <w:jc w:val="both"/>
      </w:pPr>
      <w:r>
        <w:rPr>
          <w:rFonts w:ascii="Times New Roman"/>
          <w:b w:val="false"/>
          <w:i w:val="false"/>
          <w:color w:val="000000"/>
          <w:sz w:val="28"/>
        </w:rPr>
        <w:t>
      элемент 1 – первые 4 элемента регистрационного номера предварительного решения, в которое вносятся изменения (дополнения);</w:t>
      </w:r>
    </w:p>
    <w:bookmarkEnd w:id="108"/>
    <w:bookmarkStart w:name="z128" w:id="109"/>
    <w:p>
      <w:pPr>
        <w:spacing w:after="0"/>
        <w:ind w:left="0"/>
        <w:jc w:val="both"/>
      </w:pPr>
      <w:r>
        <w:rPr>
          <w:rFonts w:ascii="Times New Roman"/>
          <w:b w:val="false"/>
          <w:i w:val="false"/>
          <w:color w:val="000000"/>
          <w:sz w:val="28"/>
        </w:rPr>
        <w:t>
      элемент 2 – порядковый номер вносимых изменений (дополнений), начиная с номера "02";</w:t>
      </w:r>
    </w:p>
    <w:bookmarkEnd w:id="109"/>
    <w:bookmarkStart w:name="z129" w:id="110"/>
    <w:p>
      <w:pPr>
        <w:spacing w:after="0"/>
        <w:ind w:left="0"/>
        <w:jc w:val="both"/>
      </w:pPr>
      <w:r>
        <w:rPr>
          <w:rFonts w:ascii="Times New Roman"/>
          <w:b w:val="false"/>
          <w:i w:val="false"/>
          <w:color w:val="000000"/>
          <w:sz w:val="28"/>
        </w:rPr>
        <w:t>
      в графе 9 под номером 9.3 – сведения об основании внесения изменений (дополнений) в предварительное решение (например, номер (при наличии) и дата заявления, номер и дата таможенного документа, составленного по результатам таможенного контроля, и т. д.).</w:t>
      </w:r>
    </w:p>
    <w:bookmarkEnd w:id="110"/>
    <w:bookmarkStart w:name="z130" w:id="111"/>
    <w:p>
      <w:pPr>
        <w:spacing w:after="0"/>
        <w:ind w:left="0"/>
        <w:jc w:val="both"/>
      </w:pPr>
      <w:r>
        <w:rPr>
          <w:rFonts w:ascii="Times New Roman"/>
          <w:b w:val="false"/>
          <w:i w:val="false"/>
          <w:color w:val="000000"/>
          <w:sz w:val="28"/>
        </w:rPr>
        <w:t>
      34. Изменения (дополнения) вносятся в графы 2 – 9 предварительного решения, за исключением графы 6, в случае выявления ошибок, которые допущены при принятии этого предварительного решения и которые не влияют на сведения о коде товара в соответствии с ТН ВЭД ЕАЭС.</w:t>
      </w:r>
    </w:p>
    <w:bookmarkEnd w:id="111"/>
    <w:bookmarkStart w:name="z131" w:id="112"/>
    <w:p>
      <w:pPr>
        <w:spacing w:after="0"/>
        <w:ind w:left="0"/>
        <w:jc w:val="both"/>
      </w:pPr>
      <w:r>
        <w:rPr>
          <w:rFonts w:ascii="Times New Roman"/>
          <w:b w:val="false"/>
          <w:i w:val="false"/>
          <w:color w:val="000000"/>
          <w:sz w:val="28"/>
        </w:rPr>
        <w:t>
      При этом сведения в графах 2, 3, 5, 7 – 9 предварительного решения могут быть изменены (дополнены) в случае выявления опечаток, орфографических или грамматических ошибок, исправление которых не изменяет сведения, влияющие на принятие таможенным органом предварительного решения.</w:t>
      </w:r>
    </w:p>
    <w:bookmarkEnd w:id="112"/>
    <w:bookmarkStart w:name="z132" w:id="113"/>
    <w:p>
      <w:pPr>
        <w:spacing w:after="0"/>
        <w:ind w:left="0"/>
        <w:jc w:val="both"/>
      </w:pPr>
      <w:r>
        <w:rPr>
          <w:rFonts w:ascii="Times New Roman"/>
          <w:b w:val="false"/>
          <w:i w:val="false"/>
          <w:color w:val="000000"/>
          <w:sz w:val="28"/>
        </w:rPr>
        <w:t>
      Изменения (дополнения), вносимые в графу 4 предварительного решения, не должны приводить к замене заявителя.</w:t>
      </w:r>
    </w:p>
    <w:bookmarkEnd w:id="113"/>
    <w:bookmarkStart w:name="z133" w:id="114"/>
    <w:p>
      <w:pPr>
        <w:spacing w:after="0"/>
        <w:ind w:left="0"/>
        <w:jc w:val="both"/>
      </w:pPr>
      <w:r>
        <w:rPr>
          <w:rFonts w:ascii="Times New Roman"/>
          <w:b w:val="false"/>
          <w:i w:val="false"/>
          <w:color w:val="000000"/>
          <w:sz w:val="28"/>
        </w:rPr>
        <w:t>
      35. Допускается отличие сведений, указываемых в графе 10 нового предварительного решения, от сведений, указанных в графе 10 предварительного решения, в которое вносятся изменения (дополнения).</w:t>
      </w:r>
    </w:p>
    <w:bookmarkEnd w:id="114"/>
    <w:bookmarkStart w:name="z134" w:id="115"/>
    <w:p>
      <w:pPr>
        <w:spacing w:after="0"/>
        <w:ind w:left="0"/>
        <w:jc w:val="both"/>
      </w:pPr>
      <w:r>
        <w:rPr>
          <w:rFonts w:ascii="Times New Roman"/>
          <w:b w:val="false"/>
          <w:i w:val="false"/>
          <w:color w:val="000000"/>
          <w:sz w:val="28"/>
        </w:rPr>
        <w:t>
      36. Новое предварительное решение вступает в силу со дня принятия предварительного решения, в которое вносятся изменения (дополнения).</w:t>
      </w:r>
    </w:p>
    <w:bookmarkEnd w:id="115"/>
    <w:bookmarkStart w:name="z135" w:id="116"/>
    <w:p>
      <w:pPr>
        <w:spacing w:after="0"/>
        <w:ind w:left="0"/>
        <w:jc w:val="both"/>
      </w:pPr>
      <w:r>
        <w:rPr>
          <w:rFonts w:ascii="Times New Roman"/>
          <w:b w:val="false"/>
          <w:i w:val="false"/>
          <w:color w:val="000000"/>
          <w:sz w:val="28"/>
        </w:rPr>
        <w:t>
      37. Таможенный орган не позднее 1 рабочего дня, следующего за днем принятия нового предварительного решения, направляет заявителю уведомление о внесении изменений (дополнений) в предварительное решение с указанием причин таких изменений (дополнений) и с приложением нового предварительного решения. Такое уведомление направляется в электронной или письменной форме.</w:t>
      </w:r>
    </w:p>
    <w:bookmarkEnd w:id="116"/>
    <w:bookmarkStart w:name="z136" w:id="117"/>
    <w:p>
      <w:pPr>
        <w:spacing w:after="0"/>
        <w:ind w:left="0"/>
        <w:jc w:val="both"/>
      </w:pPr>
      <w:r>
        <w:rPr>
          <w:rFonts w:ascii="Times New Roman"/>
          <w:b w:val="false"/>
          <w:i w:val="false"/>
          <w:color w:val="000000"/>
          <w:sz w:val="28"/>
        </w:rPr>
        <w:t xml:space="preserve">
      Уведомление о внесении изменений (дополнений) в предварительное решение в письменной форме направляется заказным почтовым отправлением с уведомлением о вручении или передается иным способом, позволяющим подтвердить факт его получения заявителем. При этом данное уведомление в электронном виде одновременно направляется на адрес электронной почты заявителя (при его наличии), указанный в заявлении.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