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d6f7" w14:textId="79cd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приложение № 4 к Инструкции о порядке заполнения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25 сентября 2018 года № 157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приложение № 4</w:t>
      </w:r>
      <w:r>
        <w:rPr>
          <w:rFonts w:ascii="Times New Roman"/>
          <w:b w:val="false"/>
          <w:i w:val="false"/>
          <w:color w:val="000000"/>
          <w:sz w:val="28"/>
        </w:rPr>
        <w:t xml:space="preserve"> к Инструкции о порядке заполнения декларации на товары, утвержденной Решением Комиссии Таможенного союза от 20 мая 2010 г. № 257, изменения согласно приложению.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25 сентября 2018 г. № 157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приложение № 4 к Инструкции о порядке заполнения декларации на товары </w:t>
      </w:r>
    </w:p>
    <w:bookmarkEnd w:id="3"/>
    <w:bookmarkStart w:name="z10" w:id="4"/>
    <w:p>
      <w:pPr>
        <w:spacing w:after="0"/>
        <w:ind w:left="0"/>
        <w:jc w:val="both"/>
      </w:pPr>
      <w:r>
        <w:rPr>
          <w:rFonts w:ascii="Times New Roman"/>
          <w:b w:val="false"/>
          <w:i w:val="false"/>
          <w:color w:val="000000"/>
          <w:sz w:val="28"/>
        </w:rPr>
        <w:t xml:space="preserve">
      1. В графе первой слова "(кроме 4403 41 000 0, 4403 49, 4403 95 000 2, 4403 96 000 1)" заменить словами "(кроме 4403 41 000 0, 4403 49, 4403 95 000 1, 4403 95 000 2, 4403 95 000 9, 4403 96 000 1, 4403 96 000 9)". </w:t>
      </w:r>
    </w:p>
    <w:bookmarkEnd w:id="4"/>
    <w:bookmarkStart w:name="z11" w:id="5"/>
    <w:p>
      <w:pPr>
        <w:spacing w:after="0"/>
        <w:ind w:left="0"/>
        <w:jc w:val="both"/>
      </w:pPr>
      <w:r>
        <w:rPr>
          <w:rFonts w:ascii="Times New Roman"/>
          <w:b w:val="false"/>
          <w:i w:val="false"/>
          <w:color w:val="000000"/>
          <w:sz w:val="28"/>
        </w:rPr>
        <w:t xml:space="preserve">
      2. После позиции с кодом "4403 (кроме 4403 41 000 0, 4403 49, 4403 95 000 2, 4403 96 000 1)" ТН ВЭД ЕАЭС дополнить позицией следующего содержания: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29"/>
        <w:gridCol w:w="751"/>
        <w:gridCol w:w="7120"/>
      </w:tblGrid>
      <w:tr>
        <w:trPr>
          <w:trHeight w:val="30" w:hRule="atLeast"/>
        </w:trPr>
        <w:tc>
          <w:tcPr>
            <w:tcW w:w="44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95 000 1</w:t>
            </w:r>
          </w:p>
        </w:tc>
        <w:tc>
          <w:tcPr>
            <w:tcW w:w="7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из березы</w:t>
            </w: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(для использования в круглом виде, а также для распиловки (или раскола) в продольном направлении для выработки пиломатериалов или шпал для железнодорожных или трамвайных путей или для получения листов для облицовки путем строгания или лущения)</w:t>
            </w:r>
          </w:p>
        </w:tc>
      </w:tr>
      <w:tr>
        <w:trPr>
          <w:trHeight w:val="30" w:hRule="atLeast"/>
        </w:trPr>
        <w:tc>
          <w:tcPr>
            <w:tcW w:w="0" w:type="auto"/>
            <w:vMerge/>
            <w:tcBorders>
              <w:top w:val="nil"/>
            </w:tcBorders>
          </w:tcPr>
          <w:p/>
        </w:tc>
        <w:tc>
          <w:tcPr>
            <w:tcW w:w="0" w:type="auto"/>
            <w:vMerge/>
            <w:tcBorders>
              <w:top w:val="nil"/>
            </w:tcBorders>
          </w:tcP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лесоматериалов (например, фанерный кряж березовый, пиловочник березовый диаметром не менее 15 см)</w:t>
            </w:r>
          </w:p>
        </w:tc>
      </w:tr>
      <w:tr>
        <w:trPr>
          <w:trHeight w:val="30" w:hRule="atLeast"/>
        </w:trPr>
        <w:tc>
          <w:tcPr>
            <w:tcW w:w="0" w:type="auto"/>
            <w:vMerge/>
            <w:tcBorders>
              <w:top w:val="nil"/>
            </w:tcBorders>
          </w:tcPr>
          <w:p/>
        </w:tc>
        <w:tc>
          <w:tcPr>
            <w:tcW w:w="0" w:type="auto"/>
            <w:vMerge/>
            <w:tcBorders>
              <w:top w:val="nil"/>
            </w:tcBorders>
          </w:tcP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tc>
      </w:tr>
      <w:tr>
        <w:trPr>
          <w:trHeight w:val="30" w:hRule="atLeast"/>
        </w:trPr>
        <w:tc>
          <w:tcPr>
            <w:tcW w:w="0" w:type="auto"/>
            <w:vMerge/>
            <w:tcBorders>
              <w:top w:val="nil"/>
            </w:tcBorders>
          </w:tcPr>
          <w:p/>
        </w:tc>
        <w:tc>
          <w:tcPr>
            <w:tcW w:w="0" w:type="auto"/>
            <w:vMerge/>
            <w:tcBorders>
              <w:top w:val="nil"/>
            </w:tcBorders>
          </w:tcP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w:t>
            </w:r>
          </w:p>
        </w:tc>
      </w:tr>
      <w:tr>
        <w:trPr>
          <w:trHeight w:val="30" w:hRule="atLeast"/>
        </w:trPr>
        <w:tc>
          <w:tcPr>
            <w:tcW w:w="0" w:type="auto"/>
            <w:vMerge/>
            <w:tcBorders>
              <w:top w:val="nil"/>
            </w:tcBorders>
          </w:tcPr>
          <w:p/>
        </w:tc>
        <w:tc>
          <w:tcPr>
            <w:tcW w:w="0" w:type="auto"/>
            <w:vMerge/>
            <w:tcBorders>
              <w:top w:val="nil"/>
            </w:tcBorders>
          </w:tcP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лесоматериалов (например, сорт 1, сорт 2)</w:t>
            </w:r>
          </w:p>
        </w:tc>
      </w:tr>
      <w:tr>
        <w:trPr>
          <w:trHeight w:val="30" w:hRule="atLeast"/>
        </w:trPr>
        <w:tc>
          <w:tcPr>
            <w:tcW w:w="0" w:type="auto"/>
            <w:vMerge/>
            <w:tcBorders>
              <w:top w:val="nil"/>
            </w:tcBorders>
          </w:tcPr>
          <w:p/>
        </w:tc>
        <w:tc>
          <w:tcPr>
            <w:tcW w:w="0" w:type="auto"/>
            <w:vMerge/>
            <w:tcBorders>
              <w:top w:val="nil"/>
            </w:tcBorders>
          </w:tcP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лесоматериалов (диапазон диаметров (толщин) в верхнем торце и в нижнем торце) (см)</w:t>
            </w:r>
          </w:p>
        </w:tc>
      </w:tr>
      <w:tr>
        <w:trPr>
          <w:trHeight w:val="30" w:hRule="atLeast"/>
        </w:trPr>
        <w:tc>
          <w:tcPr>
            <w:tcW w:w="0" w:type="auto"/>
            <w:vMerge/>
            <w:tcBorders>
              <w:top w:val="nil"/>
            </w:tcBorders>
          </w:tcPr>
          <w:p/>
        </w:tc>
        <w:tc>
          <w:tcPr>
            <w:tcW w:w="0" w:type="auto"/>
            <w:vMerge/>
            <w:tcBorders>
              <w:top w:val="nil"/>
            </w:tcBorders>
          </w:tcP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w:t>
            </w:r>
          </w:p>
        </w:tc>
      </w:tr>
    </w:tbl>
    <w:bookmarkStart w:name="z12" w:id="6"/>
    <w:p>
      <w:pPr>
        <w:spacing w:after="0"/>
        <w:ind w:left="0"/>
        <w:jc w:val="both"/>
      </w:pPr>
      <w:r>
        <w:rPr>
          <w:rFonts w:ascii="Times New Roman"/>
          <w:b w:val="false"/>
          <w:i w:val="false"/>
          <w:color w:val="000000"/>
          <w:sz w:val="28"/>
        </w:rPr>
        <w:t xml:space="preserve">
      3. В графе первой коды "4403 95 000 2, 4403 96 000 1" ТН ВЭД ЕАЭС заменить кодами "4403 95 000 2, 4403 95 000 9, 4403 96 000 1, 4403 96 000 9" ТН ВЭД ЕАЭС. </w:t>
      </w:r>
    </w:p>
    <w:bookmarkEnd w:id="6"/>
    <w:bookmarkStart w:name="z13" w:id="7"/>
    <w:p>
      <w:pPr>
        <w:spacing w:after="0"/>
        <w:ind w:left="0"/>
        <w:jc w:val="both"/>
      </w:pPr>
      <w:r>
        <w:rPr>
          <w:rFonts w:ascii="Times New Roman"/>
          <w:b w:val="false"/>
          <w:i w:val="false"/>
          <w:color w:val="000000"/>
          <w:sz w:val="28"/>
        </w:rPr>
        <w:t xml:space="preserve">
      4. В примечании 1 по тексту: </w:t>
      </w:r>
    </w:p>
    <w:bookmarkEnd w:id="7"/>
    <w:bookmarkStart w:name="z14" w:id="8"/>
    <w:p>
      <w:pPr>
        <w:spacing w:after="0"/>
        <w:ind w:left="0"/>
        <w:jc w:val="both"/>
      </w:pPr>
      <w:r>
        <w:rPr>
          <w:rFonts w:ascii="Times New Roman"/>
          <w:b w:val="false"/>
          <w:i w:val="false"/>
          <w:color w:val="000000"/>
          <w:sz w:val="28"/>
        </w:rPr>
        <w:t xml:space="preserve">
      а) слово "классификационным" исключить; </w:t>
      </w:r>
    </w:p>
    <w:bookmarkEnd w:id="8"/>
    <w:bookmarkStart w:name="z15" w:id="9"/>
    <w:p>
      <w:pPr>
        <w:spacing w:after="0"/>
        <w:ind w:left="0"/>
        <w:jc w:val="both"/>
      </w:pPr>
      <w:r>
        <w:rPr>
          <w:rFonts w:ascii="Times New Roman"/>
          <w:b w:val="false"/>
          <w:i w:val="false"/>
          <w:color w:val="000000"/>
          <w:sz w:val="28"/>
        </w:rPr>
        <w:t xml:space="preserve">
      б) слова "по единой Товарной номенклатуре" заменить словами "в соответствии с единой Товарной номенклатурой".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