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d825" w14:textId="65bd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холоднодеформированных бесшовных труб из нержавеющей стали, происходящих из Китайской Народной Республики и Малайзии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3 апреля 2018 г.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2018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10 декабря 2023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65, в отношении ввозимых на таможенную территорию Евразийского экономического союза холоднодеформированных бесшовных труб из нержавеющей стали, происходящих из Китайской Народной Республики и Малайзии.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апреля 2018 г. № 49,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апреля 2018 г. № 49 "О продлении действия антидемпинговой меры в отношении холоднодеформированных бесшовных труб из нержавеющей стали, происходящих из Китайской Народной Республики и Малайзии и ввозимых на таможенную территорию Евразийского экономического союза".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Решение вступает в силу по истечении 30 календарных дней с даты его официального опубликования.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